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Experts predict the future of crypto towards 2025</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Experts from the crypto industry have provided an outlook on the forces driving the sector towards 2025, with a specific focus on the rise of AI automation, the growing significance of real-world assets (RWAs), stablecoins, and a trend towards more conducive regulatory frameworks. The viewpoints were shared during discussions with BeInCrypto, highlighting a collective anticipation for a more integrated and robust crypto landscape.</w:t>
      </w:r>
    </w:p>
    <w:p>
      <w:r>
        <w:t>One of the most significant themes identified is the emergence of AI-powered agents. These sophisticated programs, capable of learning and executing tasks autonomously, are expected to shape the narrative of the crypto sector significantly over the next few years. Jonathan Schemoul, CEO of Aleph.im, remarked on the impact of major tech companies, stating, “The emergence of AI agents from major players like Meta and Google has brought AI into the mainstream, creating a ripple effect that highlights the potential of crypto AI agents.” He outlined how these decentralized agents can leverage blockchain technology to operate in a manner that is both secure and programmably flexible, fuelling investment interest.</w:t>
      </w:r>
    </w:p>
    <w:p>
      <w:r>
        <w:t>The capabilities of these AI agents extend beyond basic automation; they will facilitate sophisticated blockchain-related operations, including governance voting and asset management. Alex Schevchenko, CEO of Aurora Labs, suggested the concept of an “AI Agent-Operated Chain” that prioritizes data processing and scalability tailored for intelligent automation. This could lead to advancements in decentralized finance (DeFi) and supply chain automation.</w:t>
      </w:r>
    </w:p>
    <w:p>
      <w:r>
        <w:t>In the gaming sector, Simon Davis, founder of GOAT Gaming, shared insights into how AI can redefine gaming experiences by generating personalised challenges and recalling past player interactions. The introduction of AlphaGOATs, AI agents developed to play games on behalf of users, signifies a transformative step in user engagement. Davis described the anticipated evolution within gaming, predicting that 2025 will be characterised by significant advancements much like a “ChatGPT moment,” for the sector.</w:t>
      </w:r>
    </w:p>
    <w:p>
      <w:r>
        <w:t>The topic of real-world assets is also gaining traction, with increasing efforts to tokenise physical assets such as bonds and loans. Many industry leaders, including Schevchenko, foresee RWAs as vital for attracting institutional investors while offering the stability that digital assets often lack. “RWAs are set to be a big deal,” Schevchenko stated, emphasising that their growing use will integrate traditional finance with blockchain technology seamlessly.</w:t>
      </w:r>
    </w:p>
    <w:p>
      <w:r>
        <w:t>In terms of national policy, an observable trend is the interest in Bitcoin as a strategic reserve asset by various governments. Notable examples include Bhutan, which has amassed more than $1 billion in Bitcoin holdings. Binance Labs’ Max Coniglio noted, "We believe we’re witnessing the early stages of a global race for nations to establish Bitcoin as a Strategic Reserve Asset." Such developments suggest a significant shift in how cryptocurrencies may be viewed by governing bodies as instruments of national financial strength.</w:t>
      </w:r>
    </w:p>
    <w:p>
      <w:r>
        <w:t>Amid a backdrop of evolving regulations, there is increasing optimism regarding crypto adoption in regions like the United States and the European Union. The recent departure of Gary Gensler, the controversial SEC Chair, signals potential future regulatory improvements that might enhance the operational environment for crypto firms. Industry stakeholders such as Aurora Labs' Schevchenko expressed hopes for clearer frameworks to guide crypto operations.</w:t>
      </w:r>
    </w:p>
    <w:p>
      <w:r>
        <w:t>Emerging markets in Latin America and Africa are anticipated to lead the charge in crypto adoption, addressing economic challenges through blockchain solutions. Countries grappling with hyperinflation, such as Argentina and Venezuela, have seen notable increases in stablecoin usage, with citizens turning to digital currencies as a safeguard against financial instability. Amitej Gajja, founder of Kernel, predicted continued growth in stablecoin adoption as innovative financial instruments emerge within the ecosystem.</w:t>
      </w:r>
    </w:p>
    <w:p>
      <w:r>
        <w:t>Overall, the interplay of AI automation, real-world asset tokenisation, strategic national reserves, and a shift towards favourable regulations paints a picture of a dynamic future for the crypto sector, reflective of rapid technological advancements and evolving market sentiments.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https://101blockchains.com/real-world-assets-rwa-in-crypto/</w:t>
        </w:r>
      </w:hyperlink>
      <w:r>
        <w:t xml:space="preserve"> - Corroborates the concept and significance of real-world assets (RWAs) in crypto, including their tokenization and integration with blockchain and DeFi.</w:t>
      </w:r>
    </w:p>
    <w:p>
      <w:pPr>
        <w:pStyle w:val="ListBullet"/>
      </w:pPr>
      <w:hyperlink r:id="rId12">
        <w:r>
          <w:rPr>
            <w:u w:val="single"/>
            <w:color w:val="0000FF"/>
            <w:rStyle w:val="Hyperlink"/>
          </w:rPr>
          <w:t>https://www.tokenmetrics.com/blog/real-world-assets-rwa</w:t>
        </w:r>
      </w:hyperlink>
      <w:r>
        <w:t xml:space="preserve"> - Supports the importance of RWAs in crypto, including their role in liquidity, diversification, and various use cases such as lending, borrowing, and asset management.</w:t>
      </w:r>
    </w:p>
    <w:p>
      <w:pPr>
        <w:pStyle w:val="ListBullet"/>
      </w:pPr>
      <w:hyperlink r:id="rId12">
        <w:r>
          <w:rPr>
            <w:u w:val="single"/>
            <w:color w:val="0000FF"/>
            <w:rStyle w:val="Hyperlink"/>
          </w:rPr>
          <w:t>https://www.tokenmetrics.com/blog/real-world-assets-rwa</w:t>
        </w:r>
      </w:hyperlink>
      <w:r>
        <w:t xml:space="preserve"> - Provides examples of how RWAs can reduce risk and increase stability in investment strategies by tokenizing assets like real estate, fine art, and commodities.</w:t>
      </w:r>
    </w:p>
    <w:p>
      <w:pPr>
        <w:pStyle w:val="ListBullet"/>
      </w:pPr>
      <w:hyperlink r:id="rId11">
        <w:r>
          <w:rPr>
            <w:u w:val="single"/>
            <w:color w:val="0000FF"/>
            <w:rStyle w:val="Hyperlink"/>
          </w:rPr>
          <w:t>https://101blockchains.com/real-world-assets-rwa-in-crypto/</w:t>
        </w:r>
      </w:hyperlink>
      <w:r>
        <w:t xml:space="preserve"> - Explains how RWAs can bridge traditional finance with blockchain technology, enhancing security and liquidity, and mentions examples like MakerDAO using RWA collateral.</w:t>
      </w:r>
    </w:p>
    <w:p>
      <w:pPr>
        <w:pStyle w:val="ListBullet"/>
      </w:pPr>
      <w:hyperlink r:id="rId13">
        <w:r>
          <w:rPr>
            <w:u w:val="single"/>
            <w:color w:val="0000FF"/>
            <w:rStyle w:val="Hyperlink"/>
          </w:rPr>
          <w:t>https://opentools.ai/news/2025-the-year-ai-and-blockchain-go-mainstream</w:t>
        </w:r>
      </w:hyperlink>
      <w:r>
        <w:t xml:space="preserve"> - Forecasts the potential $16 trillion boom in tokenization of real-world assets, highlighting its impact on investment accessibility and market liquidity.</w:t>
      </w:r>
    </w:p>
    <w:p>
      <w:pPr>
        <w:pStyle w:val="ListBullet"/>
      </w:pPr>
      <w:hyperlink r:id="rId13">
        <w:r>
          <w:rPr>
            <w:u w:val="single"/>
            <w:color w:val="0000FF"/>
            <w:rStyle w:val="Hyperlink"/>
          </w:rPr>
          <w:t>https://opentools.ai/news/2025-the-year-ai-and-blockchain-go-mainstream</w:t>
        </w:r>
      </w:hyperlink>
      <w:r>
        <w:t xml:space="preserve"> - Discusses the anticipated clearer cryptocurrency regulations by 2025, which could enhance the operational environment for crypto firms and foster broader adoption.</w:t>
      </w:r>
    </w:p>
    <w:p>
      <w:pPr>
        <w:pStyle w:val="ListBullet"/>
      </w:pPr>
      <w:hyperlink r:id="rId13">
        <w:r>
          <w:rPr>
            <w:u w:val="single"/>
            <w:color w:val="0000FF"/>
            <w:rStyle w:val="Hyperlink"/>
          </w:rPr>
          <w:t>https://opentools.ai/news/2025-the-year-ai-and-blockchain-go-mainstream</w:t>
        </w:r>
      </w:hyperlink>
      <w:r>
        <w:t xml:space="preserve"> - Mentions the trend of corporate Bitcoin treasuries and the integration of cryptocurrencies into mainstream finance, reflecting a shift in how governing bodies view cryptocurrencies.</w:t>
      </w:r>
    </w:p>
    <w:p>
      <w:pPr>
        <w:pStyle w:val="ListBullet"/>
      </w:pPr>
      <w:hyperlink r:id="rId14">
        <w:r>
          <w:rPr>
            <w:u w:val="single"/>
            <w:color w:val="0000FF"/>
            <w:rStyle w:val="Hyperlink"/>
          </w:rPr>
          <w:t>https://www.coindesk.com/markets/2023/11/15/bhutan-buys-bitcoin-to-diversify-reserves/</w:t>
        </w:r>
      </w:hyperlink>
      <w:r>
        <w:t xml:space="preserve"> - Provides an example of Bhutan amassing over $1 billion in Bitcoin holdings, illustrating the trend of nations considering Bitcoin as a strategic reserve asset.</w:t>
      </w:r>
    </w:p>
    <w:p>
      <w:pPr>
        <w:pStyle w:val="ListBullet"/>
      </w:pPr>
      <w:hyperlink r:id="rId15">
        <w:r>
          <w:rPr>
            <w:u w:val="single"/>
            <w:color w:val="0000FF"/>
            <w:rStyle w:val="Hyperlink"/>
          </w:rPr>
          <w:t>https://www.coindesk.com/markets/2023/10/25/stablecoins-see-surge-in-usage-in-latin-america/</w:t>
        </w:r>
      </w:hyperlink>
      <w:r>
        <w:t xml:space="preserve"> - Supports the increased usage of stablecoins in emerging markets like Latin America, particularly in countries facing economic challenges such as hyperinflation.</w:t>
      </w:r>
    </w:p>
    <w:p>
      <w:pPr>
        <w:pStyle w:val="ListBullet"/>
      </w:pPr>
      <w:hyperlink r:id="rId16">
        <w:r>
          <w:rPr>
            <w:u w:val="single"/>
            <w:color w:val="0000FF"/>
            <w:rStyle w:val="Hyperlink"/>
          </w:rPr>
          <w:t>https://www.forbes.com/sites/forbestechcouncil/2023/10/24/how-ai-is-transforming-the-crypto-industry/?sh=6b4c5e6b6a4d</w:t>
        </w:r>
      </w:hyperlink>
      <w:r>
        <w:t xml:space="preserve"> - Discusses the transformative impact of AI on the crypto industry, including AI-powered agents and their potential to enhance blockchain operations and governance.</w:t>
      </w:r>
    </w:p>
    <w:p>
      <w:pPr>
        <w:pStyle w:val="ListBullet"/>
      </w:pPr>
      <w:hyperlink r:id="rId17">
        <w:r>
          <w:rPr>
            <w:u w:val="single"/>
            <w:color w:val="0000FF"/>
            <w:rStyle w:val="Hyperlink"/>
          </w:rPr>
          <w:t>https://news.google.com/rss/articles/CBMihwFBVV95cUxQaDRESXVYOGtNY1c3STlYMGFRRFA2VFNiZDkyN0RxTk1BSzRjQkRIZnhzZUlSVkRsQnMtWjVHbEpaNVhyUzgxZTRzaFJGYmNoTGxIaU1ZZU15YnNoMUlfWFJnOWdFeUxXQklkcmM4SnktNjZtREpBbjE1UnVIUmNSY3ZUaGFpQjQ?oc=5&amp;hl=en-US&amp;gl=US&amp;ceid=US:en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101blockchains.com/real-world-assets-rwa-in-crypto/" TargetMode="External"/><Relationship Id="rId12" Type="http://schemas.openxmlformats.org/officeDocument/2006/relationships/hyperlink" Target="https://www.tokenmetrics.com/blog/real-world-assets-rwa" TargetMode="External"/><Relationship Id="rId13" Type="http://schemas.openxmlformats.org/officeDocument/2006/relationships/hyperlink" Target="https://opentools.ai/news/2025-the-year-ai-and-blockchain-go-mainstream" TargetMode="External"/><Relationship Id="rId14" Type="http://schemas.openxmlformats.org/officeDocument/2006/relationships/hyperlink" Target="https://www.coindesk.com/markets/2023/11/15/bhutan-buys-bitcoin-to-diversify-reserves/" TargetMode="External"/><Relationship Id="rId15" Type="http://schemas.openxmlformats.org/officeDocument/2006/relationships/hyperlink" Target="https://www.coindesk.com/markets/2023/10/25/stablecoins-see-surge-in-usage-in-latin-america/" TargetMode="External"/><Relationship Id="rId16" Type="http://schemas.openxmlformats.org/officeDocument/2006/relationships/hyperlink" Target="https://www.forbes.com/sites/forbestechcouncil/2023/10/24/how-ai-is-transforming-the-crypto-industry/?sh=6b4c5e6b6a4d" TargetMode="External"/><Relationship Id="rId17" Type="http://schemas.openxmlformats.org/officeDocument/2006/relationships/hyperlink" Target="https://news.google.com/rss/articles/CBMihwFBVV95cUxQaDRESXVYOGtNY1c3STlYMGFRRFA2VFNiZDkyN0RxTk1BSzRjQkRIZnhzZUlSVkRsQnMtWjVHbEpaNVhyUzgxZTRzaFJGYmNoTGxIaU1ZZU15YnNoMUlfWFJnOWdFeUxXQklkcmM4SnktNjZtREpBbjE1UnVIUmNSY3ZUaGFpQjQ?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