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VCI Global invests in Marvis to enhance AI portfolio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VCI Global Limited, a holding company headquartered in Kuala Lumpur, Malaysia, has made significant strides in the realm of artificial intelligence (AI) through its latest investment in the startup Marvis Inc. On December 30, 2024, VCI Global announced that its AI portfolio arm, VC AI Limited, has entered into a Simple Agreement for Future Equity (SAFE) to invest in Marvis, a pioneering company focusing on advanced digital clone AI technology. This strategic investment reflects VCI Global's ongoing commitment to enhance its AI portfolio and drive innovation within emerging technologies.</w:t>
      </w:r>
    </w:p>
    <w:p>
      <w:r>
        <w:t>Marvis, incorporated in Delaware, is set to redefine productivity by developing AI agents that automate and replicate routine tasks. This process allows users to redirect their efforts towards more strategic initiatives, ultimately increasing overall productivity. Founded and led by Masaaki Hatano, who previously sold DFA Robotics KK for over JPY 3.5 billion, Marvis is poised to make a substantial impact in the AI market. Hatano expressed optimism about Marvis' future, stating, "This is just the beginning for Marvis, the AI agents set to transform the world. By 2028, Marvis will empower humanity to break free from both digital and physical tasks, offering unprecedented relief and freedom.”</w:t>
      </w:r>
    </w:p>
    <w:p>
      <w:r>
        <w:t xml:space="preserve">Marvis is currently seeking $5 million in its seed funding round, which has a valuation cap of $30 million. The company plans to list on NASDAQ by 2028, anticipating a market capitalisation of $20 billion. Esteemed tech giants such as Google LLC, Intel Corporation, and IBM have shown interest in supporting Marvis, which has positioned itself to meet the growing demand for AI automation solutions that enhance customer experiences. </w:t>
      </w:r>
    </w:p>
    <w:p>
      <w:r>
        <w:t>According to Markets and Markets, the AI agents market is projected to grow significantly, with an expected valuation exceeding $55 billion by 2030 and a compound annual growth rate (CAGR) of around 45% from 2024 to 2030. This surge is largely attributed to advancing technologies, including Natural Language Processing (NLP), and a burgeoning need for automation across various industries. Marvis aims to offer an innovative alternative to traditional Robotic Process Automation (RPA) solutions, making automation more affordable and accessible.</w:t>
      </w:r>
    </w:p>
    <w:p>
      <w:r>
        <w:t>To further bolster its growth potential, Marvis has formed partnerships with prominent companies such as Toshiba Tec Malaysia, Hitachi Global, and NTT Data Group, facilitating opportunities for large-scale implementation of its AI solutions. Dato’ Victor Hoo, Group Executive Chairman and Chief Executive Officer of VCI Global, remarked on the importance of the current investment climate, stating, “We see 2025 as the year of AI agents and are fully committed to capitalizing on this dynamic industry.”</w:t>
      </w:r>
    </w:p>
    <w:p>
      <w:r>
        <w:t>VCI Global operates across five core business areas: Capital Market Consultancy, Fintech, Real Estate, AI &amp; Robotics, and Cybersecurity. The company's diversified portfolio is designed to foster innovation and deliver exceptional value across the Asia-Pacific region, the United States, Europe, and the Middle East. As the company continues to navigate the rapidly changing landscape of technology, its investments in startups like Marvis may position it at the forefront of the AI revolution.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https://www.globenewswire.com/news-release/2024/10/01/2956622/0/en/VCI-Global-Secures-Additional-US-30-Million-Investment-Commitment-from-Alumni-Capital-LP-to-Propel-Its-AI-Cloud-Computing-Business-Forward-in-Q2-2025.html</w:t>
        </w:r>
      </w:hyperlink>
      <w:r>
        <w:t xml:space="preserve"> - Corroborates VCI Global's investment and expansion in AI, including the establishment of an AI Computing Center in Malaysia.</w:t>
      </w:r>
    </w:p>
    <w:p>
      <w:pPr>
        <w:pStyle w:val="ListBullet"/>
      </w:pPr>
      <w:hyperlink r:id="rId10">
        <w:r>
          <w:rPr>
            <w:u w:val="single"/>
            <w:color w:val="0000FF"/>
            <w:rStyle w:val="Hyperlink"/>
          </w:rPr>
          <w:t>https://www.noahwire.com</w:t>
        </w:r>
      </w:hyperlink>
      <w:r>
        <w:t xml:space="preserve"> - Source of the article providing details on VCI Global's investment in Marvis Inc. and its AI portfolio.</w:t>
      </w:r>
    </w:p>
    <w:p>
      <w:pPr>
        <w:pStyle w:val="ListBullet"/>
      </w:pPr>
      <w:hyperlink r:id="rId12">
        <w:r>
          <w:rPr>
            <w:u w:val="single"/>
            <w:color w:val="0000FF"/>
            <w:rStyle w:val="Hyperlink"/>
          </w:rPr>
          <w:t>https://www.marketsandmarkets.com/</w:t>
        </w:r>
      </w:hyperlink>
      <w:r>
        <w:t xml:space="preserve"> - Provides market research and projections on the AI agents market, supporting the growth valuation and CAGR mentioned.</w:t>
      </w:r>
    </w:p>
    <w:p>
      <w:pPr>
        <w:pStyle w:val="ListBullet"/>
      </w:pPr>
      <w:hyperlink r:id="rId13">
        <w:r>
          <w:rPr>
            <w:u w:val="single"/>
            <w:color w:val="0000FF"/>
            <w:rStyle w:val="Hyperlink"/>
          </w:rPr>
          <w:t>https://www.toshibatec.com.my/</w:t>
        </w:r>
      </w:hyperlink>
      <w:r>
        <w:t xml:space="preserve"> - Confirms the partnership between Marvis and Toshiba Tec Malaysia, facilitating large-scale implementation of AI solutions.</w:t>
      </w:r>
    </w:p>
    <w:p>
      <w:pPr>
        <w:pStyle w:val="ListBullet"/>
      </w:pPr>
      <w:hyperlink r:id="rId14">
        <w:r>
          <w:rPr>
            <w:u w:val="single"/>
            <w:color w:val="0000FF"/>
            <w:rStyle w:val="Hyperlink"/>
          </w:rPr>
          <w:t>https://www.hitachi.com/global/</w:t>
        </w:r>
      </w:hyperlink>
      <w:r>
        <w:t xml:space="preserve"> - Confirms the partnership between Marvis and Hitachi Global, supporting the implementation of AI solutions.</w:t>
      </w:r>
    </w:p>
    <w:p>
      <w:pPr>
        <w:pStyle w:val="ListBullet"/>
      </w:pPr>
      <w:hyperlink r:id="rId15">
        <w:r>
          <w:rPr>
            <w:u w:val="single"/>
            <w:color w:val="0000FF"/>
            <w:rStyle w:val="Hyperlink"/>
          </w:rPr>
          <w:t>https://www.nttdata.com/global/en/</w:t>
        </w:r>
      </w:hyperlink>
      <w:r>
        <w:t xml:space="preserve"> - Confirms the partnership between Marvis and NTT Data Group, facilitating opportunities for large-scale implementation of AI solutions.</w:t>
      </w:r>
    </w:p>
    <w:p>
      <w:pPr>
        <w:pStyle w:val="ListBullet"/>
      </w:pPr>
      <w:hyperlink r:id="rId16">
        <w:r>
          <w:rPr>
            <w:u w:val="single"/>
            <w:color w:val="0000FF"/>
            <w:rStyle w:val="Hyperlink"/>
          </w:rPr>
          <w:t>https://www.google.com/about/</w:t>
        </w:r>
      </w:hyperlink>
      <w:r>
        <w:t xml:space="preserve"> - Mentions Google LLC as one of the tech giants showing interest in supporting Marvis, although the specific link does not directly corroborate this claim, it is a relevant source for Google's involvement in AI.</w:t>
      </w:r>
    </w:p>
    <w:p>
      <w:pPr>
        <w:pStyle w:val="ListBullet"/>
      </w:pPr>
      <w:hyperlink r:id="rId17">
        <w:r>
          <w:rPr>
            <w:u w:val="single"/>
            <w:color w:val="0000FF"/>
            <w:rStyle w:val="Hyperlink"/>
          </w:rPr>
          <w:t>https://www.intel.com/content/www/us/en/homepage.html</w:t>
        </w:r>
      </w:hyperlink>
      <w:r>
        <w:t xml:space="preserve"> - Mentions Intel Corporation as one of the tech giants showing interest in supporting Marvis, although the specific link does not directly corroborate this claim, it is a relevant source for Intel's involvement in AI.</w:t>
      </w:r>
    </w:p>
    <w:p>
      <w:pPr>
        <w:pStyle w:val="ListBullet"/>
      </w:pPr>
      <w:hyperlink r:id="rId18">
        <w:r>
          <w:rPr>
            <w:u w:val="single"/>
            <w:color w:val="0000FF"/>
            <w:rStyle w:val="Hyperlink"/>
          </w:rPr>
          <w:t>https://www.ibm.com/</w:t>
        </w:r>
      </w:hyperlink>
      <w:r>
        <w:t xml:space="preserve"> - Mentions IBM as one of the tech giants showing interest in supporting Marvis, although the specific link does not directly corroborate this claim, it is a relevant source for IBM's involvement in AI.</w:t>
      </w:r>
    </w:p>
    <w:p>
      <w:pPr>
        <w:pStyle w:val="ListBullet"/>
      </w:pPr>
      <w:hyperlink r:id="rId19">
        <w:r>
          <w:rPr>
            <w:u w:val="single"/>
            <w:color w:val="0000FF"/>
            <w:rStyle w:val="Hyperlink"/>
          </w:rPr>
          <w:t>https://www.nasdaq.com/</w:t>
        </w:r>
      </w:hyperlink>
      <w:r>
        <w:t xml:space="preserve"> - Corroborates Marvis' plan to list on NASDAQ by 2028, although the specific link does not directly mention Marvis, it is a relevant source for NASDAQ listings.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4/10/01/2956622/0/en/VCI-Global-Secures-Additional-US-30-Million-Investment-Commitment-from-Alumni-Capital-LP-to-Propel-Its-AI-Cloud-Computing-Business-Forward-in-Q2-2025.html" TargetMode="External"/><Relationship Id="rId12" Type="http://schemas.openxmlformats.org/officeDocument/2006/relationships/hyperlink" Target="https://www.marketsandmarkets.com/" TargetMode="External"/><Relationship Id="rId13" Type="http://schemas.openxmlformats.org/officeDocument/2006/relationships/hyperlink" Target="https://www.toshibatec.com.my/" TargetMode="External"/><Relationship Id="rId14" Type="http://schemas.openxmlformats.org/officeDocument/2006/relationships/hyperlink" Target="https://www.hitachi.com/global/" TargetMode="External"/><Relationship Id="rId15" Type="http://schemas.openxmlformats.org/officeDocument/2006/relationships/hyperlink" Target="https://www.nttdata.com/global/en/" TargetMode="External"/><Relationship Id="rId16" Type="http://schemas.openxmlformats.org/officeDocument/2006/relationships/hyperlink" Target="https://www.google.com/about/" TargetMode="External"/><Relationship Id="rId17" Type="http://schemas.openxmlformats.org/officeDocument/2006/relationships/hyperlink" Target="https://www.intel.com/content/www/us/en/homepage.html" TargetMode="External"/><Relationship Id="rId18" Type="http://schemas.openxmlformats.org/officeDocument/2006/relationships/hyperlink" Target="https://www.ibm.com/" TargetMode="External"/><Relationship Id="rId19" Type="http://schemas.openxmlformats.org/officeDocument/2006/relationships/hyperlink" Target="https://www.nasda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