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ESG principles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2024, the landscape of Environmental, Social, and Governance (ESG) principles gained significant traction as businesses incorporated these frameworks into their operations, while navigating challenges associated with regulatory disparities, technological advancements, and increased scrutiny from stakeholders. The evolving situation reflects divergent paths in the European Union (EU) and the United States regarding ESG adoption, implementation, and legal repercussions.</w:t>
      </w:r>
    </w:p>
    <w:p>
      <w:r>
        <w:t>ESG regulations strengthened notably this year, with the EU cementing its position as a frontrunner in the global arena. The European Commission pushed forward the Corporate Sustainability Reporting Directive (CSRD), which mandates comprehensive disclosures for both EU and non-EU companies. Such disclosures include a wide array of metrics, from greenhouse gas emissions to social responsibility initiatives. This move underscores the EU's commitment to sustainability as a non-negotiable pillar of its policy framework, even amidst challenging economic environments.</w:t>
      </w:r>
    </w:p>
    <w:p>
      <w:r>
        <w:t>Conversely, the U.S. faced considerable pushback against new climate disclosure rules finalized by the Securities and Exchange Commission (SEC). While the rules necessitate that corporations report emissions and other risk-related data, they sparked lawsuits from business associations and political opposition, revealing deep-seated divisions in American attitudes toward ESG. Regulatory resistance in the U.S. stands in stark contrast to the European approach, where stricter measures have largely received support as essential to global sustainability goals.</w:t>
      </w:r>
    </w:p>
    <w:p>
      <w:r>
        <w:t>The role of emerging markets began to gain prominence in the ESG conversation, with Brazil amplifying anti-deforestation legislation and India providing tax incentives for renewable projects. These developments suggest growing recognition of ESG's importance beyond Western perspectives.</w:t>
      </w:r>
    </w:p>
    <w:p>
      <w:r>
        <w:t>Technology integration for ESG purposes accelerated in 2024, exemplified by advancements in artificial intelligence (AI), blockchain, and the Internet of Things (IoT). AI emerged as a pivotal resource for analysing expansive datasets and forecasting associated risks, allowing companies to model potential climate impacts. Blockchain technology played a significant role in ensuring transparency surrounding ESG claims by establishing immutable records that bolster stakeholder trust. Meanwhile, IoT devices enabled real-time monitoring of critical metrics such as emissions and energy consumption, equipping firms to innovate within their resource utilisation strategies.</w:t>
      </w:r>
    </w:p>
    <w:p>
      <w:r>
        <w:t>In addressing ESG metrics and reporting practices, the International Sustainability Standards Board (ISSB) continued working toward harmonisation of various reporting frameworks. While the ISSB's approach focuses predominantly on financial materiality, the EU's CSRD explicitly incorporates double materiality, requiring businesses to consider both their operational impacts on society and environmental degradation. This noteworthy contrast highlights differing priorities in ESG reporting in the EU compared to the U.S., where recent SEC proposals have prioritised financial impacts, potentially neglecting broader societal ramifications.</w:t>
      </w:r>
    </w:p>
    <w:p>
      <w:r>
        <w:t>The year also highlighted an increased emphasis on the social and governance dimensions of ESG. Businesses faced mounting pressure to demonstrate commitment to diversity, equity, and inclusion (DEI) initiatives. While many pursued investments in community development and equitable labour practices, these endeavours faced legal obstacles in the U.S., where DEI initiatives have become politically contentious, often encountering lawsuits alleging reverse discrimination. Frameworks for human rights due diligence gained traction, particularly within high-risk industries, supported by the EU’s directives aimed at ethical sourcing.</w:t>
      </w:r>
    </w:p>
    <w:p>
      <w:r>
        <w:t xml:space="preserve">Legal challenges significantly defined the ESG narrative this year, particularly in the U.S., where the SEC's climate disclosure rules and DEI programs drew intense scrutiny and legal disputes. Traditional environmental litigation also saw a rise, with stakeholders across the globe taking legal action against corporations and governments for failing to uphold climate commitments. A notable case emerged involving island nations pursuing international debate over rising sea levels in the Hague. </w:t>
      </w:r>
    </w:p>
    <w:p>
      <w:r>
        <w:t>Despite the challenges in implementing ESG principles, the landscape of investor activism and stakeholder engagement intensified, driving accountability and collaboration across industries. Institutional investors in the EU increasingly filed proposals targeting environmental and social reforms, while American initiatives encountered heightened resistance, illustrating the contrasting cultural landscapes. Employees also emerged as vocal advocates for ESG improvements, particularly regarding workplace equity but faced pushback in a politically charged environment.</w:t>
      </w:r>
    </w:p>
    <w:p>
      <w:r>
        <w:t>As businesses look forward to 2025 and beyond, several transformative trends are anticipated to shape the future of ESG. The EU is likely to maintain its leadership role in harmonising global reporting standards, while the U.S. may confront regulatory fragmentation driven by shifting political climates. Technological innovations will continue to enhance data collection and compliance efforts, paving the way for improved transparency. Increased focus on climate resilience, nature-based solutions, and circular economy models further indicates that organisations will expand their sustainability strategies in response to stakeholder demands.</w:t>
      </w:r>
    </w:p>
    <w:p>
      <w:r>
        <w:t>Overall, the developments in ESG throughout 2024 reflect its intrinsic role in guiding corporate responsibility in addressing contemporary global challenges. The evolving regulatory frameworks and community expectations underscore the necessity for sustained commitment to ESG principles, driving long-term resilience and accountability across varied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https://www.thomsonreuters.com/en-us/posts/esg/esg-predictions-2024/</w:t>
        </w:r>
      </w:hyperlink>
      <w:r>
        <w:t xml:space="preserve"> - Corroborates the prediction that in 2024, businesses will fundamentally transform their business models by integrating ESG criteria beyond compliance and risk management.</w:t>
      </w:r>
    </w:p>
    <w:p>
      <w:pPr>
        <w:pStyle w:val="ListBullet"/>
      </w:pPr>
      <w:hyperlink r:id="rId12">
        <w:r>
          <w:rPr>
            <w:u w:val="single"/>
            <w:color w:val="0000FF"/>
            <w:rStyle w:val="Hyperlink"/>
          </w:rPr>
          <w:t>https://www.hoganlovells.com/en/publications/ukeuinternational-esg-regulation-monthly-round-up-june-2024</w:t>
        </w:r>
      </w:hyperlink>
      <w:r>
        <w:t xml:space="preserve"> - Supports the EU's adoption of the Green Claims Directive and other ESG regulations, including the final reports on greenwashing and the assessment of the SFDR.</w:t>
      </w:r>
    </w:p>
    <w:p>
      <w:pPr>
        <w:pStyle w:val="ListBullet"/>
      </w:pPr>
      <w:hyperlink r:id="rId13">
        <w:r>
          <w:rPr>
            <w:u w:val="single"/>
            <w:color w:val="0000FF"/>
            <w:rStyle w:val="Hyperlink"/>
          </w:rPr>
          <w:t>https://www.sidley.com/en/insights/newsupdates/2024/05/unprecedented-esg-due-diligence-obligations</w:t>
        </w:r>
      </w:hyperlink>
      <w:r>
        <w:t xml:space="preserve"> - Details the EU's adoption of the Corporate Sustainability Due Diligence Directive (CS3D) and its far-reaching due diligence requirements for EU and non-EU companies.</w:t>
      </w:r>
    </w:p>
    <w:p>
      <w:pPr>
        <w:pStyle w:val="ListBullet"/>
      </w:pPr>
      <w:hyperlink r:id="rId14">
        <w:r>
          <w:rPr>
            <w:u w:val="single"/>
            <w:color w:val="0000FF"/>
            <w:rStyle w:val="Hyperlink"/>
          </w:rPr>
          <w:t>https://brileyfin.com/blog/businesses-should-prioritize-esg</w:t>
        </w:r>
      </w:hyperlink>
      <w:r>
        <w:t xml:space="preserve"> - Highlights the growing demand for ESG-focused investments, the rise in ESG-related regulations, and the increasing importance of sustainable business practices among consumers and investors.</w:t>
      </w:r>
    </w:p>
    <w:p>
      <w:pPr>
        <w:pStyle w:val="ListBullet"/>
      </w:pPr>
      <w:hyperlink r:id="rId11">
        <w:r>
          <w:rPr>
            <w:u w:val="single"/>
            <w:color w:val="0000FF"/>
            <w:rStyle w:val="Hyperlink"/>
          </w:rPr>
          <w:t>https://www.thomsonreuters.com/en-us/posts/esg/esg-predictions-2024/</w:t>
        </w:r>
      </w:hyperlink>
      <w:r>
        <w:t xml:space="preserve"> - Discusses how ESG will transition from a peripheral element to a central component of overall corporate business strategies in 2024.</w:t>
      </w:r>
    </w:p>
    <w:p>
      <w:pPr>
        <w:pStyle w:val="ListBullet"/>
      </w:pPr>
      <w:hyperlink r:id="rId12">
        <w:r>
          <w:rPr>
            <w:u w:val="single"/>
            <w:color w:val="0000FF"/>
            <w:rStyle w:val="Hyperlink"/>
          </w:rPr>
          <w:t>https://www.hoganlovells.com/en/publications/ukeuinternational-esg-regulation-monthly-round-up-june-2024</w:t>
        </w:r>
      </w:hyperlink>
      <w:r>
        <w:t xml:space="preserve"> - Provides details on the EU's regulatory advancements, including the Council of the EU's position on the Green Claims Directive and its implications for environmental claims and labels.</w:t>
      </w:r>
    </w:p>
    <w:p>
      <w:pPr>
        <w:pStyle w:val="ListBullet"/>
      </w:pPr>
      <w:hyperlink r:id="rId13">
        <w:r>
          <w:rPr>
            <w:u w:val="single"/>
            <w:color w:val="0000FF"/>
            <w:rStyle w:val="Hyperlink"/>
          </w:rPr>
          <w:t>https://www.sidley.com/en/insights/newsupdates/2024/05/unprecedented-esg-due-diligence-obligations</w:t>
        </w:r>
      </w:hyperlink>
      <w:r>
        <w:t xml:space="preserve"> - Explains the key obligations and compliance dates for the Corporate Sustainability Due Diligence Directive (CS3D) and its impact on EU and non-EU companies.</w:t>
      </w:r>
    </w:p>
    <w:p>
      <w:pPr>
        <w:pStyle w:val="ListBullet"/>
      </w:pPr>
      <w:hyperlink r:id="rId14">
        <w:r>
          <w:rPr>
            <w:u w:val="single"/>
            <w:color w:val="0000FF"/>
            <w:rStyle w:val="Hyperlink"/>
          </w:rPr>
          <w:t>https://brileyfin.com/blog/businesses-should-prioritize-esg</w:t>
        </w:r>
      </w:hyperlink>
      <w:r>
        <w:t xml:space="preserve"> - Corroborates the increasing importance of ESG in driving better returns, resilient portfolios, and enhanced fundamental analysis, as believed by global investors.</w:t>
      </w:r>
    </w:p>
    <w:p>
      <w:pPr>
        <w:pStyle w:val="ListBullet"/>
      </w:pPr>
      <w:hyperlink r:id="rId11">
        <w:r>
          <w:rPr>
            <w:u w:val="single"/>
            <w:color w:val="0000FF"/>
            <w:rStyle w:val="Hyperlink"/>
          </w:rPr>
          <w:t>https://www.thomsonreuters.com/en-us/posts/esg/esg-predictions-2024/</w:t>
        </w:r>
      </w:hyperlink>
      <w:r>
        <w:t xml:space="preserve"> - Supports the integration of ESG into mainstream business practices, including revisions in design processes, procurement strategies, and financial management.</w:t>
      </w:r>
    </w:p>
    <w:p>
      <w:pPr>
        <w:pStyle w:val="ListBullet"/>
      </w:pPr>
      <w:hyperlink r:id="rId12">
        <w:r>
          <w:rPr>
            <w:u w:val="single"/>
            <w:color w:val="0000FF"/>
            <w:rStyle w:val="Hyperlink"/>
          </w:rPr>
          <w:t>https://www.hoganlovells.com/en/publications/ukeuinternational-esg-regulation-monthly-round-up-june-2024</w:t>
        </w:r>
      </w:hyperlink>
      <w:r>
        <w:t xml:space="preserve"> - Details the EU's regulatory environment, including the ESAs' reports on greenwashing and the assessment of the SFDR, highlighting the EU's leadership in ESG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omsonreuters.com/en-us/posts/esg/esg-predictions-2024/" TargetMode="External"/><Relationship Id="rId12" Type="http://schemas.openxmlformats.org/officeDocument/2006/relationships/hyperlink" Target="https://www.hoganlovells.com/en/publications/ukeuinternational-esg-regulation-monthly-round-up-june-2024" TargetMode="External"/><Relationship Id="rId13" Type="http://schemas.openxmlformats.org/officeDocument/2006/relationships/hyperlink" Target="https://www.sidley.com/en/insights/newsupdates/2024/05/unprecedented-esg-due-diligence-obligations" TargetMode="External"/><Relationship Id="rId14" Type="http://schemas.openxmlformats.org/officeDocument/2006/relationships/hyperlink" Target="https://brileyfin.com/blog/businesses-should-prioritize-e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