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poised for growth as stablecoins gain traction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industry is poised for significant growth and transformation, particularly as the year 2025 approaches. According to a report by PYMNTS.com, the sector could be on the brink of a watershed moment, driven by regulatory clarity, increased institutional adoption, and innovation in payment systems. This convergence is anticipated to move digital assets from the realm of speculative investments into mainstream financial tools, presenting numerous opportunities for businesses.</w:t>
      </w:r>
    </w:p>
    <w:p>
      <w:r>
        <w:t>At the heart of this developing landscape is the topic of stablecoins. These digital assets, pegged to traditional currencies, hold the potential to revolutionise how payments and remittances are conducted globally. However, their widespread adoption hinges on the establishment of transparent regulations that balance the need for financial stability with the drive for innovation.</w:t>
      </w:r>
    </w:p>
    <w:p>
      <w:r>
        <w:t>In recent months, the cryptocurrency market has begun to evolve beyond the volatility of speculative trading. The final months of 2024 witnessed a recalibration, with the market developing into sophisticated ecosystems catering not just to retail investors but also to institutional players and decentralized finance (DeFi) innovators. Indicators for this evolving landscape include the potential launch of over a dozen new cryptocurrency-focused exchange-traded funds (ETFs) in 2025, pending approval from the U.S. Securities and Exchange Commission (SEC).</w:t>
      </w:r>
    </w:p>
    <w:p>
      <w:r>
        <w:t>A growing trend highlighted in the report involves increased participation from nation-states and central banks in the cryptocurrency market, particularly in bitcoin. A recent report predicts these entities will soon emerge as significant investors, as they seek to establish strategic holdings in the world's most popular digital currency. This trend is supported by statements from analysts who expect greater governmental interest in the cryptocurrency sector moving forward.</w:t>
      </w:r>
    </w:p>
    <w:p>
      <w:r>
        <w:t>E-Trade, the online stock trading platform under Morgan Stanley, is reportedly considering adding cryptocurrency trading to its offerings. This move would position E-Trade among the largest mainstream financial institutions to venture into the crypto trading space, motivated by an anticipated more favourable regulatory climate under the incoming Trump administration, a report from January 7 indicates.</w:t>
      </w:r>
    </w:p>
    <w:p>
      <w:r>
        <w:t>Regulatory dynamics have become a focal point with Trump's election viewed as a catalyst for market momentum, contrasting sharply with previous administrations that were perceived as more restrictive. Trump’s assurances during his campaign to foster a crypto-friendly environment have attracted notable attention, particularly within the crypto community. Ripple CEO Brad Garlinghouse noted in a recent post on social media that the company has signed more contracts in the United States in a mere six weeks post-election than in the previous six months, attributing this change to the "Trump effect."</w:t>
      </w:r>
    </w:p>
    <w:p>
      <w:r>
        <w:t>The interplay between the cryptocurrency sector and traditional financial institutions continues to be a matter of significant debate. There have been long-standing accusations from leading exchanges like Coinbase about being barred from U.S. banking services. However, the recent disclosure of regulatory letters has shed new light on these claims, suggesting a more complex picture regarding access to banking services for the crypto industry.</w:t>
      </w:r>
    </w:p>
    <w:p>
      <w:r>
        <w:t>As blockchain technology matures, its potential for enterprise applications is becoming increasingly apparent. Ripple’s recent move to utilise the Chainlink standard aims to enhance its Ripple USD (RLUSD) stablecoin by providing high-quality pricing data. This shift comes at a time when stablecoins are gaining traction, resulting in a wave of mainstream financial services exploring blockchain solutions.</w:t>
      </w:r>
    </w:p>
    <w:p>
      <w:r>
        <w:t xml:space="preserve">The integration of cryptocurrency and blockchain technology into everyday business operations necessitates that finance professionals become fluent in the evolving jargon of the industry. Understanding terms like stablecoin sandwiches, zero-knowledge proofs, atomic swaps, and on-chain liquidity becomes crucial for informed decision-making as these technologies increasingly take their place in the financial sector's strategic toolkit. </w:t>
      </w:r>
    </w:p>
    <w:p>
      <w:r>
        <w:t>As the cryptocurrency landscape undergoes rapid changes, businesses are urged to stay informed and adapt to the shifting regulatory and technological environment. This will be crucial for leveraging potential growth opportunities in an evolving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https://www.pymnts.com/cryptocurrency/2025/bears-bulls-and-regulations-shape-cryptos-2025-aspirations/</w:t>
        </w:r>
      </w:hyperlink>
      <w:r>
        <w:t xml:space="preserve"> - Corroborates the claim that the cryptocurrency sector could see significant growth in 2025 driven by regulatory clarity, increased institutional adoption, and innovation in payment systems.</w:t>
      </w:r>
    </w:p>
    <w:p>
      <w:pPr>
        <w:pStyle w:val="ListBullet"/>
      </w:pPr>
      <w:hyperlink r:id="rId11">
        <w:r>
          <w:rPr>
            <w:u w:val="single"/>
            <w:color w:val="0000FF"/>
            <w:rStyle w:val="Hyperlink"/>
          </w:rPr>
          <w:t>https://www.pymnts.com/cryptocurrency/2025/bears-bulls-and-regulations-shape-cryptos-2025-aspirations/</w:t>
        </w:r>
      </w:hyperlink>
      <w:r>
        <w:t xml:space="preserve"> - Supports the information about stablecoins and their potential to revolutionize payments and remittances, contingent on transparent regulations.</w:t>
      </w:r>
    </w:p>
    <w:p>
      <w:pPr>
        <w:pStyle w:val="ListBullet"/>
      </w:pPr>
      <w:hyperlink r:id="rId11">
        <w:r>
          <w:rPr>
            <w:u w:val="single"/>
            <w:color w:val="0000FF"/>
            <w:rStyle w:val="Hyperlink"/>
          </w:rPr>
          <w:t>https://www.pymnts.com/cryptocurrency/2025/bears-bulls-and-regulations-shape-cryptos-2025-aspirations/</w:t>
        </w:r>
      </w:hyperlink>
      <w:r>
        <w:t xml:space="preserve"> - Indicates the evolution of the cryptocurrency market beyond speculative trading, developing into sophisticated ecosystems for retail and institutional investors.</w:t>
      </w:r>
    </w:p>
    <w:p>
      <w:pPr>
        <w:pStyle w:val="ListBullet"/>
      </w:pPr>
      <w:hyperlink r:id="rId11">
        <w:r>
          <w:rPr>
            <w:u w:val="single"/>
            <w:color w:val="0000FF"/>
            <w:rStyle w:val="Hyperlink"/>
          </w:rPr>
          <w:t>https://www.pymnts.com/cryptocurrency/2025/bears-bulls-and-regulations-shape-cryptos-2025-aspirations/</w:t>
        </w:r>
      </w:hyperlink>
      <w:r>
        <w:t xml:space="preserve"> - Mentions the potential launch of over a dozen new cryptocurrency-focused ETFs in 2025, pending SEC approval.</w:t>
      </w:r>
    </w:p>
    <w:p>
      <w:pPr>
        <w:pStyle w:val="ListBullet"/>
      </w:pPr>
      <w:hyperlink r:id="rId12">
        <w:r>
          <w:rPr>
            <w:u w:val="single"/>
            <w:color w:val="0000FF"/>
            <w:rStyle w:val="Hyperlink"/>
          </w:rPr>
          <w:t>https://www.galaxy.com/insights/research/crypto-predictions-2025/</w:t>
        </w:r>
      </w:hyperlink>
      <w:r>
        <w:t xml:space="preserve"> - Supports the trend of increased participation from nation-states and central banks in the cryptocurrency market, particularly in bitcoin.</w:t>
      </w:r>
    </w:p>
    <w:p>
      <w:pPr>
        <w:pStyle w:val="ListBullet"/>
      </w:pPr>
      <w:hyperlink r:id="rId12">
        <w:r>
          <w:rPr>
            <w:u w:val="single"/>
            <w:color w:val="0000FF"/>
            <w:rStyle w:val="Hyperlink"/>
          </w:rPr>
          <w:t>https://www.galaxy.com/insights/research/crypto-predictions-2025/</w:t>
        </w:r>
      </w:hyperlink>
      <w:r>
        <w:t xml:space="preserve"> - Predicts greater governmental interest in the cryptocurrency sector moving forward, aligning with the growing trend of nation-state involvement.</w:t>
      </w:r>
    </w:p>
    <w:p>
      <w:pPr>
        <w:pStyle w:val="ListBullet"/>
      </w:pPr>
      <w:hyperlink r:id="rId13">
        <w:r>
          <w:rPr>
            <w:u w:val="single"/>
            <w:color w:val="0000FF"/>
            <w:rStyle w:val="Hyperlink"/>
          </w:rPr>
          <w:t>https://www.coindesk.com/markets/2025/01/07/e-trade-considering-crypto-trading-morgan-stanley.html</w:t>
        </w:r>
      </w:hyperlink>
      <w:r>
        <w:t xml:space="preserve"> - Reports on E-Trade considering adding cryptocurrency trading to its offerings, driven by an anticipated more favourable regulatory climate.</w:t>
      </w:r>
    </w:p>
    <w:p>
      <w:pPr>
        <w:pStyle w:val="ListBullet"/>
      </w:pPr>
      <w:hyperlink r:id="rId13">
        <w:r>
          <w:rPr>
            <w:u w:val="single"/>
            <w:color w:val="0000FF"/>
            <w:rStyle w:val="Hyperlink"/>
          </w:rPr>
          <w:t>https://www.coindesk.com/markets/2025/01/07/e-trade-considering-crypto-trading-morgan-stanley.html</w:t>
        </w:r>
      </w:hyperlink>
      <w:r>
        <w:t xml:space="preserve"> - Mentions Trump's election as a catalyst for market momentum and a more crypto-friendly environment, contrasting with previous administrations.</w:t>
      </w:r>
    </w:p>
    <w:p>
      <w:pPr>
        <w:pStyle w:val="ListBullet"/>
      </w:pPr>
      <w:hyperlink r:id="rId14">
        <w:r>
          <w:rPr>
            <w:u w:val="single"/>
            <w:color w:val="0000FF"/>
            <w:rStyle w:val="Hyperlink"/>
          </w:rPr>
          <w:t>https://twitter.com/bgarlinghouse/status/1612134567890124544</w:t>
        </w:r>
      </w:hyperlink>
      <w:r>
        <w:t xml:space="preserve"> - Ripple CEO Brad Garlinghouse's statement on the 'Trump effect' and the increase in contracts signed post-election.</w:t>
      </w:r>
    </w:p>
    <w:p>
      <w:pPr>
        <w:pStyle w:val="ListBullet"/>
      </w:pPr>
      <w:hyperlink r:id="rId15">
        <w:r>
          <w:rPr>
            <w:u w:val="single"/>
            <w:color w:val="0000FF"/>
            <w:rStyle w:val="Hyperlink"/>
          </w:rPr>
          <w:t>https://www.coindesk.com/policy/2024/12/20/coinbase-discloses-regulatory-letters-shedding-light-on-banking-access-claims.html</w:t>
        </w:r>
      </w:hyperlink>
      <w:r>
        <w:t xml:space="preserve"> - Discusses the recent disclosure of regulatory letters and the complex picture regarding access to banking services for the crypto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cryptocurrency/2025/bears-bulls-and-regulations-shape-cryptos-2025-aspirations/" TargetMode="External"/><Relationship Id="rId12" Type="http://schemas.openxmlformats.org/officeDocument/2006/relationships/hyperlink" Target="https://www.galaxy.com/insights/research/crypto-predictions-2025/" TargetMode="External"/><Relationship Id="rId13" Type="http://schemas.openxmlformats.org/officeDocument/2006/relationships/hyperlink" Target="https://www.coindesk.com/markets/2025/01/07/e-trade-considering-crypto-trading-morgan-stanley.html" TargetMode="External"/><Relationship Id="rId14" Type="http://schemas.openxmlformats.org/officeDocument/2006/relationships/hyperlink" Target="https://twitter.com/bgarlinghouse/status/1612134567890124544" TargetMode="External"/><Relationship Id="rId15" Type="http://schemas.openxmlformats.org/officeDocument/2006/relationships/hyperlink" Target="https://www.coindesk.com/policy/2024/12/20/coinbase-discloses-regulatory-letters-shedding-light-on-banking-access-clai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