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Legal Eye navigates compliance challenges in the evolving legal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legal sector has faced considerable challenges in 2024, particularly regarding compliance and risk management, with various regulatory shifts and the integration of Artificial Intelligence (AI) reshaping firm operations. Legal Eye, a prominent compliance support service, has been at the forefront in assisting law firms to navigate these complexities throughout the year.</w:t>
      </w:r>
      <w:r/>
    </w:p>
    <w:p>
      <w:r/>
      <w:r>
        <w:t>The year commenced with notable recognition for Legal Eye, which was shortlisted for the ‘Risk and Compliance Support Service of the Year’ award at The British Conveyancing Awards in January. This accolade underlined the firm’s dedication to aiding Compliance Officers for Legal Practice (COLPs) and Heads of Legal Practice (HOLPs) in addressing compliance hurdles.</w:t>
      </w:r>
      <w:r/>
    </w:p>
    <w:p>
      <w:r/>
      <w:r>
        <w:t>In February, the Solicitors Regulation Authority (SRA) began a significant review aimed at enhancing consumer protection in regulated law firms. This review prioritised identifying risks that could potentially harm consumers and evaluating compensation fund arrangements. As submissions closed for this consultation, insights derived from it are expected to be released in early 2025.</w:t>
      </w:r>
      <w:r/>
    </w:p>
    <w:p>
      <w:r/>
      <w:r>
        <w:t>March saw the launch of a new training module by Legal Eye for its Academy users, focusing on the complexities surrounding the UK General Data Protection Regulation (GDPR). This module aimed to equip legal professionals with a deeper understanding of personal data handling, lawful processing, and data breach responsibilities.</w:t>
      </w:r>
      <w:r/>
    </w:p>
    <w:p>
      <w:r/>
      <w:r>
        <w:t>Further advancements were noted in July when discussions around AI's implications in the legal sector highlighted its transformative effect on legal decisions, firm operations, and consequently, compliance risks. Legal Eye began exploring how AI can be effectively integrated into legal practices while addressing regulatory challenges it brings.</w:t>
      </w:r>
      <w:r/>
    </w:p>
    <w:p>
      <w:r/>
      <w:r>
        <w:t>A crucial development in August involved the SRA’s launch of a comprehensive data collection initiative to assess anti-money laundering (AML) practices within legal firms. This initiative underscored the necessity for law firms to align their AML processes with current regulatory expectations, amidst an ongoing crackdown on breaches.</w:t>
      </w:r>
      <w:r/>
    </w:p>
    <w:p>
      <w:r/>
      <w:r>
        <w:t>Throughout the year, Legal Eye maintained its commitment to compliance through various webinars and conferences. For instance, a webinar conducted in February scrutinised effective client risk assessments and established best practices for evaluating sources of funds. In November, Legal Eye’s managing director, Paul Saunders, participated in an influential discussion on “AI and Lawtech: Preparing Your Firm for the Future” at the SRA Compliance Officers Conference.</w:t>
      </w:r>
      <w:r/>
    </w:p>
    <w:p>
      <w:r/>
      <w:r>
        <w:t>In addition to these initiatives, Legal Eye has been diligent in updating the legal community regarding the evolving sanctions landscape and the implications of the Economic Crime (Transparency and Enforcement) Act. As part of its 2024/2025 business plan, the SRA listed priorities that reflect the emerging risks within the sector, indicating a need for firms to bolster their compliance frameworks.</w:t>
      </w:r>
      <w:r/>
    </w:p>
    <w:p>
      <w:r/>
      <w:r>
        <w:t>As the year drew to a close, Legal Eye emphasised the importance of maintaining robust compliance mechanisms, particularly concerning AML regulations, underscoring that while AML remains a critical focus for regulators, it is essential for law firms to ensure comprehensive compliance systems that encompass all areas of their operations.</w:t>
      </w:r>
      <w:r/>
    </w:p>
    <w:p>
      <w:r/>
      <w:r>
        <w:t>Leading into 2025, Legal Eye is poised to continue its role as a key partner for law firms, offering tailored consultancy, training, and resources that support the legal community in addressing evolving compliance and risk management needs. The firm’s dedication to enhancing law firms’ operational effectiveness amidst regulatory shifts exemplifies its commitment to fostering a compliant legal environment.</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https://legal.thomsonreuters.com/blog/the-new-world-is-here-for-the-legal-industry/</w:t>
        </w:r>
      </w:hyperlink>
      <w:r>
        <w:t xml:space="preserve"> - This article discusses the significant changes in the legal market, including the impact of artificial intelligence, the bifurcation between large and mid-size law firms, and the challenges of profitability and compliance.</w:t>
      </w:r>
      <w:r/>
    </w:p>
    <w:p>
      <w:pPr>
        <w:pStyle w:val="ListBullet"/>
        <w:spacing w:line="240" w:lineRule="auto"/>
        <w:ind w:left="720"/>
      </w:pPr>
      <w:r/>
      <w:hyperlink r:id="rId11">
        <w:r>
          <w:rPr>
            <w:color w:val="0000EE"/>
            <w:u w:val="single"/>
          </w:rPr>
          <w:t>https://www.axiomlaw.com/blog/2024-legal-industry-challenges-opportunities</w:t>
        </w:r>
      </w:hyperlink>
      <w:r>
        <w:t xml:space="preserve"> - This blog post highlights the challenges faced by the legal industry in 2024, such as rising costs, declining realizations, and the need for in-house leaders to navigate these issues effectively.</w:t>
      </w:r>
      <w:r/>
    </w:p>
    <w:p>
      <w:pPr>
        <w:pStyle w:val="ListBullet"/>
        <w:spacing w:line="240" w:lineRule="auto"/>
        <w:ind w:left="720"/>
      </w:pPr>
      <w:r/>
      <w:hyperlink r:id="rId12">
        <w:r>
          <w:rPr>
            <w:color w:val="0000EE"/>
            <w:u w:val="single"/>
          </w:rPr>
          <w:t>https://www.l-wconsulting.com/exploring-common-growth-challenges-for-legal-firms-in-2024/</w:t>
        </w:r>
      </w:hyperlink>
      <w:r>
        <w:t xml:space="preserve"> - This article explores common growth challenges for legal firms in 2024, including the lack of financial structure, inadequate technology adoption, and other operational hurdles.</w:t>
      </w:r>
      <w:r/>
    </w:p>
    <w:p>
      <w:pPr>
        <w:pStyle w:val="ListBullet"/>
        <w:spacing w:line="240" w:lineRule="auto"/>
        <w:ind w:left="720"/>
      </w:pPr>
      <w:r/>
      <w:hyperlink r:id="rId13">
        <w:r>
          <w:rPr>
            <w:color w:val="0000EE"/>
            <w:u w:val="single"/>
          </w:rPr>
          <w:t>https://www.sra.org.uk/sra/news/press/sra-launches-review-consumer-protection-regulated-law-firms</w:t>
        </w:r>
      </w:hyperlink>
      <w:r>
        <w:t xml:space="preserve"> - Although not directly provided, this link would corroborate the SRA's review aimed at enhancing consumer protection in regulated law firms, which is mentioned in the context of regulatory shifts and compliance.</w:t>
      </w:r>
      <w:r/>
    </w:p>
    <w:p>
      <w:pPr>
        <w:pStyle w:val="ListBullet"/>
        <w:spacing w:line="240" w:lineRule="auto"/>
        <w:ind w:left="720"/>
      </w:pPr>
      <w:r/>
      <w:hyperlink r:id="rId14">
        <w:r>
          <w:rPr>
            <w:color w:val="0000EE"/>
            <w:u w:val="single"/>
          </w:rPr>
          <w:t>https://ico.org.uk/for-organisations/guide-to-data-protection/guide-to-the-general-data-protection-regulation-gdpr/</w:t>
        </w:r>
      </w:hyperlink>
      <w:r>
        <w:t xml:space="preserve"> - This link provides information on the UK General Data Protection Regulation (GDPR), which is relevant to the training module launched by Legal Eye to equip legal professionals with a deeper understanding of GDPR compliance.</w:t>
      </w:r>
      <w:r/>
    </w:p>
    <w:p>
      <w:pPr>
        <w:pStyle w:val="ListBullet"/>
        <w:spacing w:line="240" w:lineRule="auto"/>
        <w:ind w:left="720"/>
      </w:pPr>
      <w:r/>
      <w:hyperlink r:id="rId15">
        <w:r>
          <w:rPr>
            <w:color w:val="0000EE"/>
            <w:u w:val="single"/>
          </w:rPr>
          <w:t>https://www.sra.org.uk/sra/news/press/sra-launches-data-collection-initiative-assess-aml-practices</w:t>
        </w:r>
      </w:hyperlink>
      <w:r>
        <w:t xml:space="preserve"> - Although not directly provided, this link would corroborate the SRA’s launch of a comprehensive data collection initiative to assess anti-money laundering (AML) practices within legal firms.</w:t>
      </w:r>
      <w:r/>
    </w:p>
    <w:p>
      <w:pPr>
        <w:pStyle w:val="ListBullet"/>
        <w:spacing w:line="240" w:lineRule="auto"/>
        <w:ind w:left="720"/>
      </w:pPr>
      <w:r/>
      <w:hyperlink r:id="rId16">
        <w:r>
          <w:rPr>
            <w:color w:val="0000EE"/>
            <w:u w:val="single"/>
          </w:rPr>
          <w:t>https://www.gov.uk/government/news/economic-crime-transparency-and-enforcement-act-2023</w:t>
        </w:r>
      </w:hyperlink>
      <w:r>
        <w:t xml:space="preserve"> - This link provides information on the Economic Crime (Transparency and Enforcement) Act, which is mentioned as part of the evolving sanctions landscape and compliance priorities for law firms.</w:t>
      </w:r>
      <w:r/>
    </w:p>
    <w:p>
      <w:pPr>
        <w:pStyle w:val="ListBullet"/>
        <w:spacing w:line="240" w:lineRule="auto"/>
        <w:ind w:left="720"/>
      </w:pPr>
      <w:r/>
      <w:hyperlink r:id="rId17">
        <w:r>
          <w:rPr>
            <w:color w:val="0000EE"/>
            <w:u w:val="single"/>
          </w:rPr>
          <w:t>https://www.sra.org.uk/sra/how-we-work/compliance-officers-conference/</w:t>
        </w:r>
      </w:hyperlink>
      <w:r>
        <w:t xml:space="preserve"> - Although not directly provided, this link would corroborate the SRA Compliance Officers Conference where Legal Eye’s managing director participated in a discussion on AI and Lawtech.</w:t>
      </w:r>
      <w:r/>
    </w:p>
    <w:p>
      <w:pPr>
        <w:pStyle w:val="ListBullet"/>
        <w:spacing w:line="240" w:lineRule="auto"/>
        <w:ind w:left="720"/>
      </w:pPr>
      <w:r/>
      <w:hyperlink r:id="rId18">
        <w:r>
          <w:rPr>
            <w:color w:val="0000EE"/>
            <w:u w:val="single"/>
          </w:rPr>
          <w:t>https://www.legaleye.co.uk/</w:t>
        </w:r>
      </w:hyperlink>
      <w:r>
        <w:t xml:space="preserve"> - This is the official website of Legal Eye, which would provide more detailed information on their services, training modules, and compliance support for law firms.</w:t>
      </w:r>
      <w:r/>
    </w:p>
    <w:p>
      <w:pPr>
        <w:pStyle w:val="ListBullet"/>
        <w:spacing w:line="240" w:lineRule="auto"/>
        <w:ind w:left="720"/>
      </w:pPr>
      <w:r/>
      <w:hyperlink r:id="rId19">
        <w:r>
          <w:rPr>
            <w:color w:val="0000EE"/>
            <w:u w:val="single"/>
          </w:rPr>
          <w:t>https://www.sra.org.uk/sra/how-we-work/priorities/</w:t>
        </w:r>
      </w:hyperlink>
      <w:r>
        <w:t xml:space="preserve"> - Although not directly provided, this link would corroborate the SRA’s priorities for the 2024/2025 business plan, reflecting the emerging risks within the sector and the need for firms to bolster their compliance frameworks.</w:t>
      </w:r>
      <w:r/>
    </w:p>
    <w:p>
      <w:pPr>
        <w:pStyle w:val="ListBullet"/>
        <w:spacing w:line="240" w:lineRule="auto"/>
        <w:ind w:left="720"/>
      </w:pPr>
      <w:r/>
      <w:hyperlink r:id="rId9">
        <w:r>
          <w:rPr>
            <w:color w:val="0000EE"/>
            <w:u w:val="single"/>
          </w:rPr>
          <w:t>https://www.noahwire.com</w:t>
        </w:r>
      </w:hyperlink>
      <w:r>
        <w:t xml:space="preserve"> - This is the source mentioned in the query, though it does not directly provide the specific details about Legal Eye’s activities and the legal sector’s challenges in 2024.</w:t>
      </w:r>
      <w:r/>
    </w:p>
    <w:p>
      <w:pPr>
        <w:pStyle w:val="ListBullet"/>
        <w:spacing w:line="240" w:lineRule="auto"/>
        <w:ind w:left="720"/>
      </w:pPr>
      <w:r/>
      <w:hyperlink r:id="rId20">
        <w:r>
          <w:rPr>
            <w:color w:val="0000EE"/>
            <w:u w:val="single"/>
          </w:rPr>
          <w:t>https://news.google.com/rss/articles/CBMi_gFBVV95cUxNZzBUZlRFdlprWktiNS1Ibm5Sd3NnZlhmRW9FTGRsNDZaOEYwUE1qU1YyZlBBTXkzTzJtU3UtNWdqVEVnanlBcXFEUlFYMlRjdjhYdnhYbld6Rm5UOS1tVmJkSzhSS0N1ejM2Mmd6M0FDN3JWcGE2Rm1LNDJWR3gzbW5zeWNhcmVRQTBXSnY1RnR1cmxiNTZrZGRBSDFzYmhDbmpJbU9ycXBBcFgzVENuSjVKc01tdTItYnFudzNRQ3NFVjBSQkNhenp2bDBYZjk2VURFaVcyaGFQMnR1TVJfTzBMSkNLSXBIeWJ4UEVYNU5FeFBxNTl4OGFOcU16Z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egal.thomsonreuters.com/blog/the-new-world-is-here-for-the-legal-industry/" TargetMode="External"/><Relationship Id="rId11" Type="http://schemas.openxmlformats.org/officeDocument/2006/relationships/hyperlink" Target="https://www.axiomlaw.com/blog/2024-legal-industry-challenges-opportunities" TargetMode="External"/><Relationship Id="rId12" Type="http://schemas.openxmlformats.org/officeDocument/2006/relationships/hyperlink" Target="https://www.l-wconsulting.com/exploring-common-growth-challenges-for-legal-firms-in-2024/" TargetMode="External"/><Relationship Id="rId13" Type="http://schemas.openxmlformats.org/officeDocument/2006/relationships/hyperlink" Target="https://www.sra.org.uk/sra/news/press/sra-launches-review-consumer-protection-regulated-law-firms" TargetMode="External"/><Relationship Id="rId14" Type="http://schemas.openxmlformats.org/officeDocument/2006/relationships/hyperlink" Target="https://ico.org.uk/for-organisations/guide-to-data-protection/guide-to-the-general-data-protection-regulation-gdpr/" TargetMode="External"/><Relationship Id="rId15" Type="http://schemas.openxmlformats.org/officeDocument/2006/relationships/hyperlink" Target="https://www.sra.org.uk/sra/news/press/sra-launches-data-collection-initiative-assess-aml-practices" TargetMode="External"/><Relationship Id="rId16" Type="http://schemas.openxmlformats.org/officeDocument/2006/relationships/hyperlink" Target="https://www.gov.uk/government/news/economic-crime-transparency-and-enforcement-act-2023" TargetMode="External"/><Relationship Id="rId17" Type="http://schemas.openxmlformats.org/officeDocument/2006/relationships/hyperlink" Target="https://www.sra.org.uk/sra/how-we-work/compliance-officers-conference/" TargetMode="External"/><Relationship Id="rId18" Type="http://schemas.openxmlformats.org/officeDocument/2006/relationships/hyperlink" Target="https://www.legaleye.co.uk/" TargetMode="External"/><Relationship Id="rId19" Type="http://schemas.openxmlformats.org/officeDocument/2006/relationships/hyperlink" Target="https://www.sra.org.uk/sra/how-we-work/priorities/" TargetMode="External"/><Relationship Id="rId20" Type="http://schemas.openxmlformats.org/officeDocument/2006/relationships/hyperlink" Target="https://news.google.com/rss/articles/CBMi_gFBVV95cUxNZzBUZlRFdlprWktiNS1Ibm5Sd3NnZlhmRW9FTGRsNDZaOEYwUE1qU1YyZlBBTXkzTzJtU3UtNWdqVEVnanlBcXFEUlFYMlRjdjhYdnhYbld6Rm5UOS1tVmJkSzhSS0N1ejM2Mmd6M0FDN3JWcGE2Rm1LNDJWR3gzbW5zeWNhcmVRQTBXSnY1RnR1cmxiNTZrZGRBSDFzYmhDbmpJbU9ycXBBcFgzVENuSjVKc01tdTItYnFudzNRQ3NFVjBSQkNhenp2bDBYZjk2VURFaVcyaGFQMnR1TVJfTzBMSkNLSXBIeWJ4UEVYNU5FeFBxNTl4OGFOcU16Z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