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evolution of artificial intelligence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artificial intelligence (AI) sector is positioned to witness a pivotal evolution by 2025, largely influenced by transformative developments such as the launch of ChatGPT two years ago. As initial enthusiasm begins to stabilise, a more defined and structured investment landscape is emerging, indicating significant shifts in how companies are incorporating AI into their operations.</w:t>
      </w:r>
    </w:p>
    <w:p>
      <w:r>
        <w:t>At the forefront of this investment revolution is the KraneShares Artificial Intelligence &amp; Technology ETF, identified by the ticker AGIX. This ETF serves as a strategic investment vehicle, allowing investors to capitalise on the rapid advancements in AI technologies. It actively includes firms that are leading innovations in the AI domain, suggesting its potential as a cornerstone for AI-focused investment portfolios.</w:t>
      </w:r>
    </w:p>
    <w:p>
      <w:r>
        <w:t>Scheduled for Thursday, February 6, 2025, a key event is set to address these developments and provide insights into how businesses are effectively utilising AI for operational improvements. Senior Investment Strategist at KraneShares, Derek Yan, alongside Portfolio Managers Solomon Bier and Max Chen, will share their expertise on various significant topics, including the transition of AI from experimental applications to widespread production-scale implementations.</w:t>
      </w:r>
    </w:p>
    <w:p>
      <w:r>
        <w:t>One of the highlights of their discussion will be the increasing prominence of generative AI. This technology is anticipated to revolutionise both content creation and the automation of business processes, promising enhanced operational efficiencies and reduced costs for companies across various sectors. Additionally, the speakers will explore the growing trend of integrating AI technologies into core workflows and decision-making frameworks within businesses.</w:t>
      </w:r>
    </w:p>
    <w:p>
      <w:r>
        <w:t>Projections reveal a substantial increase in corporate spending on AI, particularly within the cloud sector, expected to surpass USD 250 billion globally. This trend signifies a major shift in how organisations are directing their resources toward innovative technologies, placing AI at the heart of their strategic planning.</w:t>
      </w:r>
    </w:p>
    <w:p>
      <w:r>
        <w:t>Moreover, the concept of edge AI is becoming increasingly critical, as companies seek to enhance their data processing capabilities by focusing on distributed systems. This approach enables faster and more efficient AI solutions, marking a significant trend in the technology landscape.</w:t>
      </w:r>
    </w:p>
    <w:p>
      <w:r>
        <w:t>The event will also provide investors the opportunity to engage directly with the experts through a Q&amp;A session, allowing for the submission of their inquiries regarding the evolving AI sector.</w:t>
      </w:r>
    </w:p>
    <w:p>
      <w:r>
        <w:t>As the AI landscape continues to be shaped, businesses across different industries are now moving beyond initial experimentation, recognising AI not merely as a trend but as an indispensable component for improving operational workflows and enhancing customer engagement. This systematic transition is indicative of a broader shift in the corporate approach to technology adoption, highlighting AI's role as a vital resource for decision-making and productivity enhancements.</w:t>
      </w:r>
    </w:p>
    <w:p>
      <w:r>
        <w:t xml:space="preserve">However, it is important to note that while the future of AI appears promising, challenges remain. Concerns surrounding data privacy, potential algorithmic biases, and the continuous need for innovation are critical factors requiring attention as organisations increasingly rely on AI solutions. Investors and stakeholders are encouraged to remain informed of these developments, as the dynamic nature of the AI sector carries both opportunities and complexities. </w:t>
      </w:r>
    </w:p>
    <w:p>
      <w:r>
        <w:t>For more insights regarding AI investments and their implications on businesses and market strategies, further information can be accessed through specialised platforms like KraneShares.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https://kraneshares.com/palantir-and-duolingo-the-ai-powerhouses-driving-agixs-success/</w:t>
        </w:r>
      </w:hyperlink>
      <w:r>
        <w:t xml:space="preserve"> - Corroborates the existence and performance of the KraneShares Artificial Intelligence and Technology ETF (AGIX) and its role in AI investments.</w:t>
      </w:r>
    </w:p>
    <w:p>
      <w:pPr>
        <w:pStyle w:val="ListBullet"/>
      </w:pPr>
      <w:hyperlink r:id="rId12">
        <w:r>
          <w:rPr>
            <w:u w:val="single"/>
            <w:color w:val="0000FF"/>
            <w:rStyle w:val="Hyperlink"/>
          </w:rPr>
          <w:t>https://www.alphaspread.com/security/nasdaq/agix/summary</w:t>
        </w:r>
      </w:hyperlink>
      <w:r>
        <w:t xml:space="preserve"> - Provides details about the AGIX ETF, including its category, expense ratio, and assets under management, supporting its role as a strategic investment vehicle.</w:t>
      </w:r>
    </w:p>
    <w:p>
      <w:pPr>
        <w:pStyle w:val="ListBullet"/>
      </w:pPr>
      <w:hyperlink r:id="rId13">
        <w:r>
          <w:rPr>
            <w:u w:val="single"/>
            <w:color w:val="0000FF"/>
            <w:rStyle w:val="Hyperlink"/>
          </w:rPr>
          <w:t>https://www.pwc.com/us/en/tech-effect/ai-analytics/ai-predictions.html</w:t>
        </w:r>
      </w:hyperlink>
      <w:r>
        <w:t xml:space="preserve"> - Discusses the transition of AI from experimental applications to production-scale implementations and its impact on various industries, including healthcare and industrial products.</w:t>
      </w:r>
    </w:p>
    <w:p>
      <w:pPr>
        <w:pStyle w:val="ListBullet"/>
      </w:pPr>
      <w:hyperlink r:id="rId14">
        <w:r>
          <w:rPr>
            <w:u w:val="single"/>
            <w:color w:val="0000FF"/>
            <w:rStyle w:val="Hyperlink"/>
          </w:rPr>
          <w:t>https://martech.org/ai-agents-2025-predictions/</w:t>
        </w:r>
      </w:hyperlink>
      <w:r>
        <w:t xml:space="preserve"> - Highlights the increasing prominence of generative AI and its potential to revolutionize content creation and automate business processes, aligning with the anticipated operational efficiencies and cost reductions.</w:t>
      </w:r>
    </w:p>
    <w:p>
      <w:pPr>
        <w:pStyle w:val="ListBullet"/>
      </w:pPr>
      <w:hyperlink r:id="rId14">
        <w:r>
          <w:rPr>
            <w:u w:val="single"/>
            <w:color w:val="0000FF"/>
            <w:rStyle w:val="Hyperlink"/>
          </w:rPr>
          <w:t>https://martech.org/ai-agents-2025-predictions/</w:t>
        </w:r>
      </w:hyperlink>
      <w:r>
        <w:t xml:space="preserve"> - Supports the growing trend of integrating AI technologies into core workflows and decision-making frameworks within businesses, and the shift from experimentation to execution in AI investments.</w:t>
      </w:r>
    </w:p>
    <w:p>
      <w:pPr>
        <w:pStyle w:val="ListBullet"/>
      </w:pPr>
      <w:hyperlink r:id="rId13">
        <w:r>
          <w:rPr>
            <w:u w:val="single"/>
            <w:color w:val="0000FF"/>
            <w:rStyle w:val="Hyperlink"/>
          </w:rPr>
          <w:t>https://www.pwc.com/us/en/tech-effect/ai-analytics/ai-predictions.html</w:t>
        </w:r>
      </w:hyperlink>
      <w:r>
        <w:t xml:space="preserve"> - Mentions the significant increase in corporate spending on AI, particularly in sectors like pharmaceuticals and medtech, indicating a major shift in resource allocation towards innovative technologies.</w:t>
      </w:r>
    </w:p>
    <w:p>
      <w:pPr>
        <w:pStyle w:val="ListBullet"/>
      </w:pPr>
      <w:hyperlink r:id="rId14">
        <w:r>
          <w:rPr>
            <w:u w:val="single"/>
            <w:color w:val="0000FF"/>
            <w:rStyle w:val="Hyperlink"/>
          </w:rPr>
          <w:t>https://martech.org/ai-agents-2025-predictions/</w:t>
        </w:r>
      </w:hyperlink>
      <w:r>
        <w:t xml:space="preserve"> - Discusses the rise of AI agents handling routine but complex operational tasks and the widespread adoption of AI tools driving measurable improvements in core business metrics.</w:t>
      </w:r>
    </w:p>
    <w:p>
      <w:pPr>
        <w:pStyle w:val="ListBullet"/>
      </w:pPr>
      <w:hyperlink r:id="rId13">
        <w:r>
          <w:rPr>
            <w:u w:val="single"/>
            <w:color w:val="0000FF"/>
            <w:rStyle w:val="Hyperlink"/>
          </w:rPr>
          <w:t>https://www.pwc.com/us/en/tech-effect/ai-analytics/ai-predictions.html</w:t>
        </w:r>
      </w:hyperlink>
      <w:r>
        <w:t xml:space="preserve"> - Highlights the importance of edge AI and distributed systems for enhancing data processing capabilities and achieving faster and more efficient AI solutions.</w:t>
      </w:r>
    </w:p>
    <w:p>
      <w:pPr>
        <w:pStyle w:val="ListBullet"/>
      </w:pPr>
      <w:hyperlink r:id="rId14">
        <w:r>
          <w:rPr>
            <w:u w:val="single"/>
            <w:color w:val="0000FF"/>
            <w:rStyle w:val="Hyperlink"/>
          </w:rPr>
          <w:t>https://martech.org/ai-agents-2025-predictions/</w:t>
        </w:r>
      </w:hyperlink>
      <w:r>
        <w:t xml:space="preserve"> - Supports the systematic transition of businesses beyond initial AI experimentation, recognizing AI as an indispensable component for improving operational workflows and enhancing customer engagement.</w:t>
      </w:r>
    </w:p>
    <w:p>
      <w:pPr>
        <w:pStyle w:val="ListBullet"/>
      </w:pPr>
      <w:hyperlink r:id="rId13">
        <w:r>
          <w:rPr>
            <w:u w:val="single"/>
            <w:color w:val="0000FF"/>
            <w:rStyle w:val="Hyperlink"/>
          </w:rPr>
          <w:t>https://www.pwc.com/us/en/tech-effect/ai-analytics/ai-predictions.html</w:t>
        </w:r>
      </w:hyperlink>
      <w:r>
        <w:t xml:space="preserve"> - Addresses the challenges surrounding data privacy, potential algorithmic biases, and the continuous need for innovation as critical factors in the evolving AI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raneshares.com/palantir-and-duolingo-the-ai-powerhouses-driving-agixs-success/" TargetMode="External"/><Relationship Id="rId12" Type="http://schemas.openxmlformats.org/officeDocument/2006/relationships/hyperlink" Target="https://www.alphaspread.com/security/nasdaq/agix/summary" TargetMode="External"/><Relationship Id="rId13" Type="http://schemas.openxmlformats.org/officeDocument/2006/relationships/hyperlink" Target="https://www.pwc.com/us/en/tech-effect/ai-analytics/ai-predictions.html" TargetMode="External"/><Relationship Id="rId14" Type="http://schemas.openxmlformats.org/officeDocument/2006/relationships/hyperlink" Target="https://martech.org/ai-agents-2025-pre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