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Integration of CGM data marks a breakthrough in diabetes research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advancement for diabetes research, researchers have integrated virtual continuous glucose monitoring (CGM) data into the original framework of the landmark Diabetes Control and Complications Trial (DCCT). This innovative application aims to explore the correlation between CGM-derived time-in-range (TIR) metrics and the risk of microvascular complications in individuals with Type 1 diabetes (T1D). The study potentially establishes TIR as a more reliable marker of glycaemic control, which could enhance personalised management approaches in clinical settings.</w:t>
      </w:r>
    </w:p>
    <w:p>
      <w:r>
        <w:t>Type 1 diabetes, characterised by the body’s inability to produce insulin, necessitates lifelong insulin therapy, with effective management essential to prevent complications such as cardiovascular disease, neuropathy, and kidney damage. Conducted from 1983 to 1993, the original DCCT highlighted the advantages of intensive insulin therapy in reducing microvascular complications compared to conventional treatment. However, it primarily relied on glycated haemoglobin (HbA1c) and infrequent blood glucose measurements, which limited insights into daily glucose fluctuations.</w:t>
      </w:r>
    </w:p>
    <w:p>
      <w:r>
        <w:t>By utilising a multistep machine-learning process, the research team synthesised CGM data from participants of the DCCT by leveraging existing blood glucose profiles alongside HbA1c measurements. The methodology involved modelling blood glucose variability and associating individual profiles with historical blood glucose traces, while applying previously identified CGM “motifs” to estimate daily glucose patterns. The findings indicated that participants in the intensive therapy group maintained TIR levels above 60%, whereas those in the conventional therapy group exhibited TIR levels below 40%. Notably, TIR was significantly linked to the risk of retinopathy, nephropathy, and neuropathy, with statistical significance (P-values &lt;0.0001) mirroring the predictive value traditionally associated with HbA1c.</w:t>
      </w:r>
    </w:p>
    <w:p>
      <w:r>
        <w:t>The research also notes the ongoing advocacy from key opinion leaders (KOLs) for the broader implementation of CGM technology in diabetes care. An American KOL stated, “We really encourage technology. Using CGM at the time of diagnosis makes a world of difference.” This assertion underscores the positioning of CGM-derived metrics, like TIR, as pivotal for optimising diabetes management and mitigating complications. By applying modern analytical techniques to historical data, this research exemplifies the evolving role of technology in diabetes care and suggests that TIR may facilitate a shift towards individually tailored treatment modalities.</w:t>
      </w:r>
    </w:p>
    <w:p>
      <w:r>
        <w:t>Despite the promising outcomes associated with TIR, there are still hurdles in incorporating virtual CGM data into routine clinical practice. The diabetes management landscape is competitive, featuring established technologies from companies such as DexCom, Abbott, and Medtronic. Nevertheless, the capability to retrospectively analyse foundational trials using contemporary tools presents a significant opportunity to refine treatment guidelines and galvanise further innovation in diabetes care.</w:t>
      </w:r>
    </w:p>
    <w:p>
      <w:r>
        <w:t>This integration of virtual CGM data into the DCCT marks a notable step forward in the field of diabetes research. The study demonstrates that 14-day CGM metrics can predict microvascular complications comparably to HbA1c, signalling the potential for CGM technology to serve as a cornerstone of contemporary diabetes management. Future research and validation in real-world settings will be essential to fully leverage the insights garnered from CGM data, enhancing clinical decision-making processes and improving overall patient outcomes.</w:t>
      </w:r>
    </w:p>
    <w:p>
      <w:r>
        <w:t>The implications of this study reflect a substantial paradigm shift in managing T1D and its associated complications, indicating that TIR could provide a more dynamic metric compared to traditional HbA1c measurements. This transition may enable healthcare providers and patients to engage in more timely and effective interventions. With machine learning technology augmenting historical trial data analysis, the field of data-driven healthcare exemplifies the potential to refine clinical guidelines and bolster precision medicine in the context of diabetes management.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https://med.virginia.edu/diabetes-technology/2025/01/16/the-virtual-dcct-adding-continuous-glucose-monitoring-to-a-landmark-clinical-trial-for-prediction-of-microvascular-complications/</w:t>
        </w:r>
      </w:hyperlink>
      <w:r>
        <w:t xml:space="preserve"> - This article discusses the integration of virtual continuous glucose monitoring (CGM) data into the Diabetes Control and Complications Trial (DCCT), highlighting its potential to predict microvascular complications in Type 1 diabetes.</w:t>
      </w:r>
    </w:p>
    <w:p>
      <w:pPr>
        <w:pStyle w:val="ListBullet"/>
      </w:pPr>
      <w:hyperlink r:id="rId12">
        <w:r>
          <w:rPr>
            <w:u w:val="single"/>
            <w:color w:val="0000FF"/>
            <w:rStyle w:val="Hyperlink"/>
          </w:rPr>
          <w:t>https://www.pharmaceutical-technology.com/analyst-comment/ai-driven-virtual-cgm-data-t1d/</w:t>
        </w:r>
      </w:hyperlink>
      <w:r>
        <w:t xml:space="preserve"> - This article explores how virtual CGM data enhances understanding of Type 1 diabetes risks by revisiting the DCCT and demonstrating the predictive value of time-in-range (TIR) metrics.</w:t>
      </w:r>
    </w:p>
    <w:p>
      <w:pPr>
        <w:pStyle w:val="ListBullet"/>
      </w:pPr>
      <w:hyperlink r:id="rId13">
        <w:r>
          <w:rPr>
            <w:u w:val="single"/>
            <w:color w:val="0000FF"/>
            <w:rStyle w:val="Hyperlink"/>
          </w:rPr>
          <w:t>https://academic.oup.com/jamia/article/23/3/532/2909019</w:t>
        </w:r>
      </w:hyperlink>
      <w:r>
        <w:t xml:space="preserve"> - This study discusses the integration of continuous glucose monitor data into electronic health records, which is relevant to the broader adoption of CGM technology in diabetes management.</w:t>
      </w:r>
    </w:p>
    <w:p>
      <w:pPr>
        <w:pStyle w:val="ListBullet"/>
      </w:pPr>
      <w:hyperlink r:id="rId14">
        <w:r>
          <w:rPr>
            <w:u w:val="single"/>
            <w:color w:val="0000FF"/>
            <w:rStyle w:val="Hyperlink"/>
          </w:rPr>
          <w:t>https://www.dexcom.com/en-US/products/dexcom-g6-continuous-glucose-monitoring-system</w:t>
        </w:r>
      </w:hyperlink>
      <w:r>
        <w:t xml:space="preserve"> - This link provides information on DexCom's CGM technology, which is a key player in the diabetes management landscape mentioned in the article.</w:t>
      </w:r>
    </w:p>
    <w:p>
      <w:pPr>
        <w:pStyle w:val="ListBullet"/>
      </w:pPr>
      <w:hyperlink r:id="rId15">
        <w:r>
          <w:rPr>
            <w:u w:val="single"/>
            <w:color w:val="0000FF"/>
            <w:rStyle w:val="Hyperlink"/>
          </w:rPr>
          <w:t>https://www.abbott.com/products/diabetes-care.html</w:t>
        </w:r>
      </w:hyperlink>
      <w:r>
        <w:t xml:space="preserve"> - Abbott's diabetes care products, including CGM technology, are part of the competitive landscape in diabetes management discussed in the article.</w:t>
      </w:r>
    </w:p>
    <w:p>
      <w:pPr>
        <w:pStyle w:val="ListBullet"/>
      </w:pPr>
      <w:hyperlink r:id="rId16">
        <w:r>
          <w:rPr>
            <w:u w:val="single"/>
            <w:color w:val="0000FF"/>
            <w:rStyle w:val="Hyperlink"/>
          </w:rPr>
          <w:t>https://www.medtronic.com/covidien/en-us/products/diabetes/continuous-glucose-monitoring.html</w:t>
        </w:r>
      </w:hyperlink>
      <w:r>
        <w:t xml:space="preserve"> - Medtronic's CGM solutions are another example of established technologies in the diabetes management sector mentioned in the article.</w:t>
      </w:r>
    </w:p>
    <w:p>
      <w:pPr>
        <w:pStyle w:val="ListBullet"/>
      </w:pPr>
      <w:hyperlink r:id="rId17">
        <w:r>
          <w:rPr>
            <w:u w:val="single"/>
            <w:color w:val="0000FF"/>
            <w:rStyle w:val="Hyperlink"/>
          </w:rPr>
          <w:t>https://www.ncbi.nlm.nih.gov/pmc/articles/PMC1482497/</w:t>
        </w:r>
      </w:hyperlink>
      <w:r>
        <w:t xml:space="preserve"> - This article provides historical context on the DCCT and its findings regarding intensive insulin therapy and microvascular complications.</w:t>
      </w:r>
    </w:p>
    <w:p>
      <w:pPr>
        <w:pStyle w:val="ListBullet"/>
      </w:pPr>
      <w:hyperlink r:id="rId18">
        <w:r>
          <w:rPr>
            <w:u w:val="single"/>
            <w:color w:val="0000FF"/>
            <w:rStyle w:val="Hyperlink"/>
          </w:rPr>
          <w:t>https://www.diabetes.org/resources/statistics/reports</w:t>
        </w:r>
      </w:hyperlink>
      <w:r>
        <w:t xml:space="preserve"> - This resource offers general statistics and information on diabetes, which supports the broader context of diabetes management and complications discussed in the article.</w:t>
      </w:r>
    </w:p>
    <w:p>
      <w:pPr>
        <w:pStyle w:val="ListBullet"/>
      </w:pPr>
      <w:hyperlink r:id="rId19">
        <w:r>
          <w:rPr>
            <w:u w:val="single"/>
            <w:color w:val="0000FF"/>
            <w:rStyle w:val="Hyperlink"/>
          </w:rPr>
          <w:t>https://www.cdc.gov/diabetes/basics/type1.html</w:t>
        </w:r>
      </w:hyperlink>
      <w:r>
        <w:t xml:space="preserve"> - This webpage provides an overview of Type 1 diabetes, including its characteristics and the need for lifelong insulin therapy, aligning with the article's description.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ed.virginia.edu/diabetes-technology/2025/01/16/the-virtual-dcct-adding-continuous-glucose-monitoring-to-a-landmark-clinical-trial-for-prediction-of-microvascular-complications/" TargetMode="External"/><Relationship Id="rId12" Type="http://schemas.openxmlformats.org/officeDocument/2006/relationships/hyperlink" Target="https://www.pharmaceutical-technology.com/analyst-comment/ai-driven-virtual-cgm-data-t1d/" TargetMode="External"/><Relationship Id="rId13" Type="http://schemas.openxmlformats.org/officeDocument/2006/relationships/hyperlink" Target="https://academic.oup.com/jamia/article/23/3/532/2909019" TargetMode="External"/><Relationship Id="rId14" Type="http://schemas.openxmlformats.org/officeDocument/2006/relationships/hyperlink" Target="https://www.dexcom.com/en-US/products/dexcom-g6-continuous-glucose-monitoring-system" TargetMode="External"/><Relationship Id="rId15" Type="http://schemas.openxmlformats.org/officeDocument/2006/relationships/hyperlink" Target="https://www.abbott.com/products/diabetes-care.html" TargetMode="External"/><Relationship Id="rId16" Type="http://schemas.openxmlformats.org/officeDocument/2006/relationships/hyperlink" Target="https://www.medtronic.com/covidien/en-us/products/diabetes/continuous-glucose-monitoring.html" TargetMode="External"/><Relationship Id="rId17" Type="http://schemas.openxmlformats.org/officeDocument/2006/relationships/hyperlink" Target="https://www.ncbi.nlm.nih.gov/pmc/articles/PMC1482497/" TargetMode="External"/><Relationship Id="rId18" Type="http://schemas.openxmlformats.org/officeDocument/2006/relationships/hyperlink" Target="https://www.diabetes.org/resources/statistics/reports" TargetMode="External"/><Relationship Id="rId19" Type="http://schemas.openxmlformats.org/officeDocument/2006/relationships/hyperlink" Target="https://www.cdc.gov/diabetes/basics/type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