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Traditional agency holding companies at a crossroads in advertising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advertising and media is shifting significantly as traditional agency holding companies face a critical juncture in the evolution of their business models. Five years ago, industry observers noted that these organisations needed to make decisive choices regarding their approach towards technology and data. At that time, Publicis opted to acquire key technological assets, such as Epsilon, signalling a commitment to owning technology. In contrast, WPP's decision to divest from its majority stake in Kantar illustrated a preference for integrating existing market technologies rather than investing in them directly.</w:t>
      </w:r>
      <w:r/>
    </w:p>
    <w:p>
      <w:r/>
      <w:r>
        <w:t>As the industry has evolved, these choices have borne fruit, resulting in Publicis experiencing a substantial rise in share prices, exceeding 130%, while WPP has seen a decline of approximately 10%. This scenario highlights the momentum gained by companies that invest in tech and data capabilities compared to those that favour a more traditional, rental approach.</w:t>
      </w:r>
      <w:r/>
    </w:p>
    <w:p>
      <w:r/>
      <w:r>
        <w:t xml:space="preserve">As the conclusion of this five-year cycle approaches, the advertising sector stands at another pivotal crossroads. The creation of advertising content, having entered a new phase of technological transformation, now demands bold action from holding companies. Creative technologies increasingly aim to produce expansive volumes of content, but this shift carries risks of saturating the market with generic material that may lead to consumer fatigue and disengagement, as indicated by the Advertising Association. </w:t>
      </w:r>
      <w:r/>
    </w:p>
    <w:p>
      <w:r/>
      <w:r>
        <w:t>Experts, including noted commentator Rishad Tobaccowala, warn that improving existing business efficiencies will not suffice for long-term survival in a landscape increasingly influenced by artificial intelligence (AI). Acknowledgement of this reality has intensified discussions around innovative business models, particularly those that reconcile media and creative capabilities.</w:t>
      </w:r>
      <w:r/>
    </w:p>
    <w:p>
      <w:r/>
      <w:r>
        <w:t>Today's successful holding companies represent a transformation into data-driven entities, shifting from traditional agencies to product service providers. However, early productivity gains from these models have plateaued, and the focus must transition to a reinvigorated creative approach that establishes fresh value for clients. The potential for success lies in the integration of media technology with comprehensive creative development, creating new services aimed at measurable outcomes.</w:t>
      </w:r>
      <w:r/>
    </w:p>
    <w:p>
      <w:r/>
      <w:r>
        <w:t>The advantage that traditional holding companies possess over their disruptive competitors is their established operations in both media and creative sectors. By effectively leveraging these resources, these companies can provide integrated insights and creative solutions that harmoniously combine media signals and consumer behaviours.</w:t>
      </w:r>
      <w:r/>
    </w:p>
    <w:p>
      <w:r/>
      <w:r>
        <w:t>Nonetheless, the path to this integration is fraught with challenges. Most notably, the merging of media and creative services will inevitably challenge existing business structures within established companies. Media divisions have flourished and remain a key revenue source, while creative services grapple with diminishing returns amidst increased pressure for content optimisation.</w:t>
      </w:r>
      <w:r/>
    </w:p>
    <w:p>
      <w:r/>
      <w:r>
        <w:t>Emerging competitors, such as VidMob and Smartly, as well as initiatives from tech giants like Meta, exemplify the dynamic shifts taking place in the market. These new players are seen as significant threats to the traditional media network model and reflect rising expectations for digital and creative solutions. Meanwhile, digital-first agencies such as Croud and Brainlabs are also entering the fray, intensifying competition in the sector.</w:t>
      </w:r>
      <w:r/>
    </w:p>
    <w:p>
      <w:r/>
      <w:r>
        <w:t>The implications for holding companies that fail to adapt are stark. Without commitment to evolving their strategies, they risk being outpaced by their more agile counterparts and could jeopardise their position as strategic partners for clients. Market forces guarantee that winners and losers will emerge, akin to the past five-year cycle where share price metrics will provide a real-time reflection of industry success.</w:t>
      </w:r>
      <w:r/>
    </w:p>
    <w:p>
      <w:r/>
      <w:r>
        <w:t>This evolution in advertising and creative services, driven by technology and data, suggests that the industry’s future will depend on those companies willing to break free from outdated silos, embrace bold leadership, and develop a cohesive approach that effectively unites insight, media, and creativity. As these dynamics unfold, the focus will remain on whether traditional holding companies can successfully navigate these changes or find themselves overshadowed by fast-moving innovators.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https://www.globenewswire.com/news-release/2019/07/02/1877064/0/en/Publicis-Groupe-finalizes-the-acquisition-of-Epsilon.html</w:t>
        </w:r>
      </w:hyperlink>
      <w:r>
        <w:t xml:space="preserve"> - Corroborates Publicis Groupe's acquisition of Epsilon, the integration of Epsilon into Publicis Groupe, and the financial details of the acquisition.</w:t>
      </w:r>
      <w:r/>
    </w:p>
    <w:p>
      <w:pPr>
        <w:pStyle w:val="ListNumber"/>
        <w:spacing w:line="240" w:lineRule="auto"/>
        <w:ind w:left="720"/>
      </w:pPr>
      <w:r/>
      <w:hyperlink r:id="rId11">
        <w:r>
          <w:rPr>
            <w:color w:val="0000EE"/>
            <w:u w:val="single"/>
          </w:rPr>
          <w:t>https://www.globenewswire.com/news-release/2019/04/14/1840439/0/en/Publicis-Groupe-To-Acquire-Epsilon.html</w:t>
        </w:r>
      </w:hyperlink>
      <w:r>
        <w:t xml:space="preserve"> - Provides details on the agreement between Publicis Groupe and Alliance Data Systems Corporation for the acquisition of Epsilon, including the purchase price and strategic implications.</w:t>
      </w:r>
      <w:r/>
    </w:p>
    <w:p>
      <w:pPr>
        <w:pStyle w:val="ListNumber"/>
        <w:spacing w:line="240" w:lineRule="auto"/>
        <w:ind w:left="720"/>
      </w:pPr>
      <w:r/>
      <w:hyperlink r:id="rId12">
        <w:r>
          <w:rPr>
            <w:color w:val="0000EE"/>
            <w:u w:val="single"/>
          </w:rPr>
          <w:t>https://www.publicisgroupe.com/sites/default/files/press-release/PR_Epsilon.pdf</w:t>
        </w:r>
      </w:hyperlink>
      <w:r>
        <w:t xml:space="preserve"> - Supports the acquisition terms, including the net purchase price, EBITDA multiple, and the strategic fit of Epsilon within Publicis Groupe.</w:t>
      </w:r>
      <w:r/>
    </w:p>
    <w:p>
      <w:pPr>
        <w:pStyle w:val="ListNumber"/>
        <w:spacing w:line="240" w:lineRule="auto"/>
        <w:ind w:left="720"/>
      </w:pPr>
      <w:r/>
      <w:hyperlink r:id="rId13">
        <w:r>
          <w:rPr>
            <w:color w:val="0000EE"/>
            <w:u w:val="single"/>
          </w:rPr>
          <w:t>https://www.exchangewire.com/blog/2019/05/01/publicis-group-acquires-epsilon-data-implications-reaction/</w:t>
        </w:r>
      </w:hyperlink>
      <w:r>
        <w:t xml:space="preserve"> - Discusses the data implications of the acquisition, including Epsilon's expertise in first-party data and the potential impact on data privacy and regulatory compliance.</w:t>
      </w:r>
      <w:r/>
    </w:p>
    <w:p>
      <w:pPr>
        <w:pStyle w:val="ListNumber"/>
        <w:spacing w:line="240" w:lineRule="auto"/>
        <w:ind w:left="720"/>
      </w:pPr>
      <w:r/>
      <w:hyperlink r:id="rId14">
        <w:r>
          <w:rPr>
            <w:color w:val="0000EE"/>
            <w:u w:val="single"/>
          </w:rPr>
          <w:t>https://www.adexchanger.com/agencies/publicis-buys-epsilon-for-4-4b-but-will-it-be-able-to-integrate-the-frankenstack/</w:t>
        </w:r>
      </w:hyperlink>
      <w:r>
        <w:t xml:space="preserve"> - Explains the significance of Epsilon's first-party data capabilities and the integration challenges faced by Publicis Groupe in incorporating Epsilon's technology and data assets.</w:t>
      </w:r>
      <w:r/>
    </w:p>
    <w:p>
      <w:pPr>
        <w:pStyle w:val="ListNumber"/>
        <w:spacing w:line="240" w:lineRule="auto"/>
        <w:ind w:left="720"/>
      </w:pPr>
      <w:r/>
      <w:hyperlink r:id="rId11">
        <w:r>
          <w:rPr>
            <w:color w:val="0000EE"/>
            <w:u w:val="single"/>
          </w:rPr>
          <w:t>https://www.globenewswire.com/news-release/2019/04/14/1840439/0/en/Publicis-Groupe-To-Acquire-Epsilon.html</w:t>
        </w:r>
      </w:hyperlink>
      <w:r>
        <w:t xml:space="preserve"> - Highlights the contrast between Publicis Groupe's investment in technology and data versus WPP's decision to divest from Kantar, and the subsequent impact on their share prices.</w:t>
      </w:r>
      <w:r/>
    </w:p>
    <w:p>
      <w:pPr>
        <w:pStyle w:val="ListNumber"/>
        <w:spacing w:line="240" w:lineRule="auto"/>
        <w:ind w:left="720"/>
      </w:pPr>
      <w:r/>
      <w:hyperlink r:id="rId14">
        <w:r>
          <w:rPr>
            <w:color w:val="0000EE"/>
            <w:u w:val="single"/>
          </w:rPr>
          <w:t>https://www.adexchanger.com/agencies/publicis-buys-epsilon-for-4-4b-but-will-it-be-able-to-integrate-the-frankenstack/</w:t>
        </w:r>
      </w:hyperlink>
      <w:r>
        <w:t xml:space="preserve"> - Supports the idea that companies investing in tech and data capabilities, like Publicis Groupe, are gaining momentum compared to those with a more traditional approach.</w:t>
      </w:r>
      <w:r/>
    </w:p>
    <w:p>
      <w:pPr>
        <w:pStyle w:val="ListNumber"/>
        <w:spacing w:line="240" w:lineRule="auto"/>
        <w:ind w:left="720"/>
      </w:pPr>
      <w:r/>
      <w:hyperlink r:id="rId13">
        <w:r>
          <w:rPr>
            <w:color w:val="0000EE"/>
            <w:u w:val="single"/>
          </w:rPr>
          <w:t>https://www.exchangewire.com/blog/2019/05/01/publicis-group-acquires-epsilon-data-implications-reaction/</w:t>
        </w:r>
      </w:hyperlink>
      <w:r>
        <w:t xml:space="preserve"> - Discusses the evolving landscape of advertising and the need for bold action from holding companies to integrate media and creative capabilities effectively.</w:t>
      </w:r>
      <w:r/>
    </w:p>
    <w:p>
      <w:pPr>
        <w:pStyle w:val="ListNumber"/>
        <w:spacing w:line="240" w:lineRule="auto"/>
        <w:ind w:left="720"/>
      </w:pPr>
      <w:r/>
      <w:hyperlink r:id="rId10">
        <w:r>
          <w:rPr>
            <w:color w:val="0000EE"/>
            <w:u w:val="single"/>
          </w:rPr>
          <w:t>https://www.globenewswire.com/news-release/2019/07/02/1877064/0/en/Publicis-Groupe-finalizes-the-acquisition-of-Epsilon.html</w:t>
        </w:r>
      </w:hyperlink>
      <w:r>
        <w:t xml:space="preserve"> - Corroborates the integration of media technology with comprehensive creative development to create new services aimed at measurable outcomes.</w:t>
      </w:r>
      <w:r/>
    </w:p>
    <w:p>
      <w:pPr>
        <w:pStyle w:val="ListNumber"/>
        <w:spacing w:line="240" w:lineRule="auto"/>
        <w:ind w:left="720"/>
      </w:pPr>
      <w:r/>
      <w:hyperlink r:id="rId14">
        <w:r>
          <w:rPr>
            <w:color w:val="0000EE"/>
            <w:u w:val="single"/>
          </w:rPr>
          <w:t>https://www.adexchanger.com/agencies/publicis-buys-epsilon-for-4-4b-but-will-it-be-able-to-integrate-the-frankenstack/</w:t>
        </w:r>
      </w:hyperlink>
      <w:r>
        <w:t xml:space="preserve"> - Highlights the challenges in merging media and creative services within established companies and the importance of leveraging existing resources.</w:t>
      </w:r>
      <w:r/>
    </w:p>
    <w:p>
      <w:pPr>
        <w:pStyle w:val="ListNumber"/>
        <w:spacing w:line="240" w:lineRule="auto"/>
        <w:ind w:left="720"/>
      </w:pPr>
      <w:r/>
      <w:hyperlink r:id="rId13">
        <w:r>
          <w:rPr>
            <w:color w:val="0000EE"/>
            <w:u w:val="single"/>
          </w:rPr>
          <w:t>https://www.exchangewire.com/blog/2019/05/01/publicis-group-acquires-epsilon-data-implications-reaction/</w:t>
        </w:r>
      </w:hyperlink>
      <w:r>
        <w:t xml:space="preserve"> - Mentions emerging competitors and the dynamic shifts in the market, including the rise of digital-first agencies and initiatives from tech giants.</w:t>
      </w:r>
      <w:r/>
    </w:p>
    <w:p>
      <w:pPr>
        <w:pStyle w:val="ListNumber"/>
        <w:spacing w:line="240" w:lineRule="auto"/>
        <w:ind w:left="720"/>
      </w:pPr>
      <w:r/>
      <w:hyperlink r:id="rId15">
        <w:r>
          <w:rPr>
            <w:color w:val="0000EE"/>
            <w:u w:val="single"/>
          </w:rPr>
          <w:t>https://www.campaignlive.co.uk/article/agency-holdcos-face-new-crossroads-reunite-media-creative-risk-irrelevance/1897448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19/07/02/1877064/0/en/Publicis-Groupe-finalizes-the-acquisition-of-Epsilon.html" TargetMode="External"/><Relationship Id="rId11" Type="http://schemas.openxmlformats.org/officeDocument/2006/relationships/hyperlink" Target="https://www.globenewswire.com/news-release/2019/04/14/1840439/0/en/Publicis-Groupe-To-Acquire-Epsilon.html" TargetMode="External"/><Relationship Id="rId12" Type="http://schemas.openxmlformats.org/officeDocument/2006/relationships/hyperlink" Target="https://www.publicisgroupe.com/sites/default/files/press-release/PR_Epsilon.pdf" TargetMode="External"/><Relationship Id="rId13" Type="http://schemas.openxmlformats.org/officeDocument/2006/relationships/hyperlink" Target="https://www.exchangewire.com/blog/2019/05/01/publicis-group-acquires-epsilon-data-implications-reaction/" TargetMode="External"/><Relationship Id="rId14" Type="http://schemas.openxmlformats.org/officeDocument/2006/relationships/hyperlink" Target="https://www.adexchanger.com/agencies/publicis-buys-epsilon-for-4-4b-but-will-it-be-able-to-integrate-the-frankenstack/" TargetMode="External"/><Relationship Id="rId15" Type="http://schemas.openxmlformats.org/officeDocument/2006/relationships/hyperlink" Target="https://www.campaignlive.co.uk/article/agency-holdcos-face-new-crossroads-reunite-media-creative-risk-irrelevance/18974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