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Financial markets uplifted by AI-driven investments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2024, the financial markets have experienced a significant uplift, driven by various factors, including a reduction in interest rates and a more robust-than-expected global economy. Central to this resurgence is a notable investment trend centred around artificial intelligence (AI), which has markedly boosted the performance of numerous megacap stocks in the United States, thereby influencing broader market narratives.</w:t>
      </w:r>
      <w:r/>
    </w:p>
    <w:p>
      <w:r/>
      <w:r>
        <w:t>The increased enthusiasm for AI and technology stocks can be attributed to the relative resilience of tech plays, despite concerns regarding their high valuations prior to substantial gains. This trend is reflected in the performance of thematic exchange-traded funds (ETFs) that focus on concepts such as digitalisation, e-commerce, demographic shifts, and decarbonisation. These thematic ETFs, which gained immense popularity during the Covid-19 pandemic, have presented a mixed performance in recent months but continue to be a staple in the portfolios of many investors.</w:t>
      </w:r>
      <w:r/>
    </w:p>
    <w:p>
      <w:r/>
      <w:r>
        <w:t>Prominent among these investment vehicles is the VanEck Crypto and Blockchain Innovators ETF, which has demonstrated extreme volatility, experiencing an 84 per cent decline in 2022 but rebounding with a remarkable 250 per cent gain in 2023. Similarly, the Invesco CoinShares Global Blockchain ETF has shown a robust recovery with a 31 per cent return in 2024 by mid-November, following a nearly 50 per cent increase the previous year. This fund’s top holdings include influential names such as MicroStrategy, Taiwan Semiconductor Manufacturing Company, and PayPal.</w:t>
      </w:r>
      <w:r/>
    </w:p>
    <w:p>
      <w:r/>
      <w:r>
        <w:t>The iShares Digitalisation ETF and the VanEck Semiconductor ETF have also become notable successes, boasting significant increases over the past two years, despite severe downturns in 2022. As exhibited in performance data, many tech-oriented ETFs have outstripped the gains of broader market indices such as the SPDR MSCI World ETF.</w:t>
      </w:r>
      <w:r/>
    </w:p>
    <w:p>
      <w:r/>
      <w:r>
        <w:t xml:space="preserve">The performance of various thematic ETFs between 2022 and late 2024 provides a clearer picture of market trends. For instance, while some funds have recorded staggering gains, including the VanEck Crypto and Blockchain Innovators ETF and the Invesco CoinShares Global Blockchain ETF, others like the L&amp;G Artificial Intelligence ETF and the iShares Ageing Population ETF have showcased a mixed but generally positive performance. </w:t>
      </w:r>
      <w:r/>
    </w:p>
    <w:p>
      <w:r/>
      <w:r>
        <w:t xml:space="preserve">Critics of thematic ETFs have pointed out potential pitfalls, such as late entry into trending markets, concentrated investments in a select few names, and the danger of losing sight of broader market shifts, which can lead to substantial losses. Such investments carry inherent risks, especially in a landscape that has seen considerable volatility. </w:t>
      </w:r>
      <w:r/>
    </w:p>
    <w:p>
      <w:r/>
      <w:r>
        <w:t>For instance, investors who committed to these funds in early 2022 have experienced a complex journey, with some funds displaying significant recoveries while others struggled. Nonetheless, the broader market has seen an overall positive outlook, with the SPDR MSCI World ETF rising by nearly a third during that time.</w:t>
      </w:r>
      <w:r/>
    </w:p>
    <w:p>
      <w:r/>
      <w:r>
        <w:t>In light of these developments, investors are encouraged to consider the concentration and strategy of thematic ETFs, as many hold relatively few positions and could be significantly impacted by the performance of these stocks. With big names like Nvidia and Taiwan Semiconductor Manufacturing Company making up substantial portions of certain funds, it's important for investors to critically assess the underlying assets before making significant commitments.</w:t>
      </w:r>
      <w:r/>
    </w:p>
    <w:p>
      <w:r/>
      <w:r>
        <w:t>In conclusion, the current landscape of AI-driven investments reflects a dynamic interaction between emerging technologies and market sentiment, shaping business practices and investment strategies in 2024. As the momentum continues, stakeholders within the financial sector are poised to closely monitor these trends, alongside the opportunities and risks they present.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https://www.globalxetfs.com/artificial-intelligence-five-trends-to-watch-in-2025/</w:t>
        </w:r>
      </w:hyperlink>
      <w:r>
        <w:t xml:space="preserve"> - Corroborates the significant investment trend in AI, highlighting the growth and monetization of AI technologies, and the impact on various industries and companies.</w:t>
      </w:r>
      <w:r/>
    </w:p>
    <w:p>
      <w:pPr>
        <w:pStyle w:val="ListNumber"/>
        <w:spacing w:line="240" w:lineRule="auto"/>
        <w:ind w:left="720"/>
      </w:pPr>
      <w:r/>
      <w:hyperlink r:id="rId11">
        <w:r>
          <w:rPr>
            <w:color w:val="0000EE"/>
            <w:u w:val="single"/>
          </w:rPr>
          <w:t>https://edgedelta.com/company/blog/ai-investment-statistics</w:t>
        </w:r>
      </w:hyperlink>
      <w:r>
        <w:t xml:space="preserve"> - Provides statistics on AI investment, including the projected growth of the AI market and the significant investments by tech giants, supporting the trend of increased AI investments.</w:t>
      </w:r>
      <w:r/>
    </w:p>
    <w:p>
      <w:pPr>
        <w:pStyle w:val="ListNumber"/>
        <w:spacing w:line="240" w:lineRule="auto"/>
        <w:ind w:left="720"/>
      </w:pPr>
      <w:r/>
      <w:hyperlink r:id="rId12">
        <w:r>
          <w:rPr>
            <w:color w:val="0000EE"/>
            <w:u w:val="single"/>
          </w:rPr>
          <w:t>https://investingnews.com/ai-forecast/</w:t>
        </w:r>
      </w:hyperlink>
      <w:r>
        <w:t xml:space="preserve"> - Discusses the AI market update, including investment strategies, funding injections, and the importance of partnerships in the AI sector, reflecting the dynamic investment landscape.</w:t>
      </w:r>
      <w:r/>
    </w:p>
    <w:p>
      <w:pPr>
        <w:pStyle w:val="ListNumber"/>
        <w:spacing w:line="240" w:lineRule="auto"/>
        <w:ind w:left="720"/>
      </w:pPr>
      <w:r/>
      <w:hyperlink r:id="rId13">
        <w:r>
          <w:rPr>
            <w:color w:val="0000EE"/>
            <w:u w:val="single"/>
          </w:rPr>
          <w:t>https://www.mckinsey.com/capabilities/quantumblack/our-insights/the-state-of-ai</w:t>
        </w:r>
      </w:hyperlink>
      <w:r>
        <w:t xml:space="preserve"> - Details the surge in AI adoption, the business value derived from generative AI, and the investment patterns across various industries, aligning with the article's discussion on AI-driven investments.</w:t>
      </w:r>
      <w:r/>
    </w:p>
    <w:p>
      <w:pPr>
        <w:pStyle w:val="ListNumber"/>
        <w:spacing w:line="240" w:lineRule="auto"/>
        <w:ind w:left="720"/>
      </w:pPr>
      <w:r/>
      <w:hyperlink r:id="rId14">
        <w:r>
          <w:rPr>
            <w:color w:val="0000EE"/>
            <w:u w:val="single"/>
          </w:rPr>
          <w:t>https://am.jpmorgan.com/se/en/asset-management/per/insights/market-insights/investment-outlook/ai-investment/</w:t>
        </w:r>
      </w:hyperlink>
      <w:r>
        <w:t xml:space="preserve"> - Explores AI investment trends, including the performance of megacap stocks, the concentration of investments, and the return on investment in the AI ecosystem, supporting the article's points on market narratives and investment strategies.</w:t>
      </w:r>
      <w:r/>
    </w:p>
    <w:p>
      <w:pPr>
        <w:pStyle w:val="ListNumber"/>
        <w:spacing w:line="240" w:lineRule="auto"/>
        <w:ind w:left="720"/>
      </w:pPr>
      <w:r/>
      <w:hyperlink r:id="rId10">
        <w:r>
          <w:rPr>
            <w:color w:val="0000EE"/>
            <w:u w:val="single"/>
          </w:rPr>
          <w:t>https://www.globalxetfs.com/artificial-intelligence-five-trends-to-watch-in-2025/</w:t>
        </w:r>
      </w:hyperlink>
      <w:r>
        <w:t xml:space="preserve"> - Highlights the role of hyperscalers and major tech companies in driving AI investments, which is crucial for understanding the impact on thematic ETFs and broader market trends.</w:t>
      </w:r>
      <w:r/>
    </w:p>
    <w:p>
      <w:pPr>
        <w:pStyle w:val="ListNumber"/>
        <w:spacing w:line="240" w:lineRule="auto"/>
        <w:ind w:left="720"/>
      </w:pPr>
      <w:r/>
      <w:hyperlink r:id="rId11">
        <w:r>
          <w:rPr>
            <w:color w:val="0000EE"/>
            <w:u w:val="single"/>
          </w:rPr>
          <w:t>https://edgedelta.com/company/blog/ai-investment-statistics</w:t>
        </w:r>
      </w:hyperlink>
      <w:r>
        <w:t xml:space="preserve"> - Mentions the growing preference for machine learning and other AI technologies, which is reflected in the performance and composition of thematic ETFs focused on AI and digitalization.</w:t>
      </w:r>
      <w:r/>
    </w:p>
    <w:p>
      <w:pPr>
        <w:pStyle w:val="ListNumber"/>
        <w:spacing w:line="240" w:lineRule="auto"/>
        <w:ind w:left="720"/>
      </w:pPr>
      <w:r/>
      <w:hyperlink r:id="rId12">
        <w:r>
          <w:rPr>
            <w:color w:val="0000EE"/>
            <w:u w:val="single"/>
          </w:rPr>
          <w:t>https://investingnews.com/ai-forecast/</w:t>
        </w:r>
      </w:hyperlink>
      <w:r>
        <w:t xml:space="preserve"> - Discusses the environmental and energy implications of AI infrastructure expansion, which is relevant to the broader discussion on the risks and opportunities associated with AI investments.</w:t>
      </w:r>
      <w:r/>
    </w:p>
    <w:p>
      <w:pPr>
        <w:pStyle w:val="ListNumber"/>
        <w:spacing w:line="240" w:lineRule="auto"/>
        <w:ind w:left="720"/>
      </w:pPr>
      <w:r/>
      <w:hyperlink r:id="rId13">
        <w:r>
          <w:rPr>
            <w:color w:val="0000EE"/>
            <w:u w:val="single"/>
          </w:rPr>
          <w:t>https://www.mckinsey.com/capabilities/quantumblack/our-insights/the-state-of-ai</w:t>
        </w:r>
      </w:hyperlink>
      <w:r>
        <w:t xml:space="preserve"> - Provides insights into the adoption of AI across different business functions and regions, supporting the article's mention of the widespread impact of AI on various sectors.</w:t>
      </w:r>
      <w:r/>
    </w:p>
    <w:p>
      <w:pPr>
        <w:pStyle w:val="ListNumber"/>
        <w:spacing w:line="240" w:lineRule="auto"/>
        <w:ind w:left="720"/>
      </w:pPr>
      <w:r/>
      <w:hyperlink r:id="rId14">
        <w:r>
          <w:rPr>
            <w:color w:val="0000EE"/>
            <w:u w:val="single"/>
          </w:rPr>
          <w:t>https://am.jpmorgan.com/se/en/asset-management/per/insights/market-insights/investment-outlook/ai-investment/</w:t>
        </w:r>
      </w:hyperlink>
      <w:r>
        <w:t xml:space="preserve"> - Warns about the potential pitfalls of concentrated investments in thematic ETFs, such as late entry into trending markets and the danger of losing sight of broader market shifts, aligning with the article's cautionary notes.</w:t>
      </w:r>
      <w:r/>
    </w:p>
    <w:p>
      <w:pPr>
        <w:pStyle w:val="ListNumber"/>
        <w:spacing w:line="240" w:lineRule="auto"/>
        <w:ind w:left="720"/>
      </w:pPr>
      <w:r/>
      <w:hyperlink r:id="rId12">
        <w:r>
          <w:rPr>
            <w:color w:val="0000EE"/>
            <w:u w:val="single"/>
          </w:rPr>
          <w:t>https://investingnews.com/ai-forecast/</w:t>
        </w:r>
      </w:hyperlink>
      <w:r>
        <w:t xml:space="preserve"> - Mentions the performance of tech-oriented ETFs and the broader market indices, such as the SPDR MSCI World ETF, which is consistent with the article's discussion on the overall positive outlook of the market despite volatility.</w:t>
      </w:r>
      <w:r/>
    </w:p>
    <w:p>
      <w:pPr>
        <w:pStyle w:val="ListNumber"/>
        <w:spacing w:line="240" w:lineRule="auto"/>
        <w:ind w:left="720"/>
      </w:pPr>
      <w:r/>
      <w:hyperlink r:id="rId15">
        <w:r>
          <w:rPr>
            <w:color w:val="0000EE"/>
            <w:u w:val="single"/>
          </w:rPr>
          <w:t>https://www.ft.com/content/307924d1-e50b-4e39-a672-568265c0df10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lobalxetfs.com/artificial-intelligence-five-trends-to-watch-in-2025/" TargetMode="External"/><Relationship Id="rId11" Type="http://schemas.openxmlformats.org/officeDocument/2006/relationships/hyperlink" Target="https://edgedelta.com/company/blog/ai-investment-statistics" TargetMode="External"/><Relationship Id="rId12" Type="http://schemas.openxmlformats.org/officeDocument/2006/relationships/hyperlink" Target="https://investingnews.com/ai-forecast/" TargetMode="External"/><Relationship Id="rId13" Type="http://schemas.openxmlformats.org/officeDocument/2006/relationships/hyperlink" Target="https://www.mckinsey.com/capabilities/quantumblack/our-insights/the-state-of-ai" TargetMode="External"/><Relationship Id="rId14" Type="http://schemas.openxmlformats.org/officeDocument/2006/relationships/hyperlink" Target="https://am.jpmorgan.com/se/en/asset-management/per/insights/market-insights/investment-outlook/ai-investment/" TargetMode="External"/><Relationship Id="rId15" Type="http://schemas.openxmlformats.org/officeDocument/2006/relationships/hyperlink" Target="https://www.ft.com/content/307924d1-e50b-4e39-a672-568265c0df1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