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management firms adapt to changing demands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Deloitte highlights a significant shift within the investment management sector, as firms begin to align their strategies with evolving market demands and technological advancements. The report notes a growing investor appetite for low-cost funds, a trend likely to persist into the forthcoming year. With artificial intelligence (AI) becoming a central topic across multiple industries, the report questions how businesses will effectively harness and scale this innovative technology.</w:t>
      </w:r>
      <w:r/>
    </w:p>
    <w:p>
      <w:r/>
      <w:r>
        <w:t>According to the analysis, the investment management industry is increasingly focused on some of the critical risks associated with digital transformation, technological progress, and cybersecurity. While 2024 is anticipated to be a year dedicated to experimenting with emerging technologies, 2025 is poised to mark a transition towards broader adoption, bringing with it what is described as “the steepest risk/reward curve in decades” for investment management firms.</w:t>
      </w:r>
      <w:r/>
    </w:p>
    <w:p>
      <w:r/>
      <w:r>
        <w:t>As challenges mount—such as evolving investor preferences, shrinking profit margins, persistently high interest rates, and increasing regulatory demands—firms are called to navigate this shifting landscape adeptly. Recognising the efforts of those leading this charge, the World Finance Investment Management awards have been announced, honouring companies that have effectively steered through these complexities and are setting benchmarks for excellence in the industry.</w:t>
      </w:r>
      <w:r/>
    </w:p>
    <w:p>
      <w:r/>
      <w:r>
        <w:t>The awards celebrate a diverse array of investment management firms across the globe. The list of award winners includes:</w:t>
      </w:r>
      <w:r/>
      <w:r/>
    </w:p>
    <w:p>
      <w:pPr>
        <w:pStyle w:val="ListBullet"/>
        <w:spacing w:line="240" w:lineRule="auto"/>
        <w:ind w:left="720"/>
      </w:pPr>
      <w:r/>
      <w:r>
        <w:t>KBC Asset Management from Belgium</w:t>
      </w:r>
      <w:r/>
    </w:p>
    <w:p>
      <w:pPr>
        <w:pStyle w:val="ListBullet"/>
        <w:spacing w:line="240" w:lineRule="auto"/>
        <w:ind w:left="720"/>
      </w:pPr>
      <w:r/>
      <w:r>
        <w:t>Itau Asset Management from Brazil</w:t>
      </w:r>
      <w:r/>
    </w:p>
    <w:p>
      <w:pPr>
        <w:pStyle w:val="ListBullet"/>
        <w:spacing w:line="240" w:lineRule="auto"/>
        <w:ind w:left="720"/>
      </w:pPr>
      <w:r/>
      <w:r>
        <w:t>BCI Asset Management from Chile</w:t>
      </w:r>
      <w:r/>
    </w:p>
    <w:p>
      <w:pPr>
        <w:pStyle w:val="ListBullet"/>
        <w:spacing w:line="240" w:lineRule="auto"/>
        <w:ind w:left="720"/>
      </w:pPr>
      <w:r/>
      <w:r>
        <w:t>Campo Capital from Colombia</w:t>
      </w:r>
      <w:r/>
    </w:p>
    <w:p>
      <w:pPr>
        <w:pStyle w:val="ListBullet"/>
        <w:spacing w:line="240" w:lineRule="auto"/>
        <w:ind w:left="720"/>
      </w:pPr>
      <w:r/>
      <w:r>
        <w:t>Stanbic Investment Management from Ghana</w:t>
      </w:r>
      <w:r/>
    </w:p>
    <w:p>
      <w:pPr>
        <w:pStyle w:val="ListBullet"/>
        <w:spacing w:line="240" w:lineRule="auto"/>
        <w:ind w:left="720"/>
      </w:pPr>
      <w:r/>
      <w:r>
        <w:t>Piraeus Asset Management from Greece</w:t>
      </w:r>
      <w:r/>
    </w:p>
    <w:p>
      <w:pPr>
        <w:pStyle w:val="ListBullet"/>
        <w:spacing w:line="240" w:lineRule="auto"/>
        <w:ind w:left="720"/>
      </w:pPr>
      <w:r/>
      <w:r>
        <w:t>HSBC Asset Management Hong Kong</w:t>
      </w:r>
      <w:r/>
    </w:p>
    <w:p>
      <w:pPr>
        <w:pStyle w:val="ListBullet"/>
        <w:spacing w:line="240" w:lineRule="auto"/>
        <w:ind w:left="720"/>
      </w:pPr>
      <w:r/>
      <w:r>
        <w:t>Kamco Invest from Kuwait</w:t>
      </w:r>
      <w:r/>
    </w:p>
    <w:p>
      <w:pPr>
        <w:pStyle w:val="ListBullet"/>
        <w:spacing w:line="240" w:lineRule="auto"/>
        <w:ind w:left="720"/>
      </w:pPr>
      <w:r/>
      <w:r>
        <w:t>Maybank Asset Management from Malaysia</w:t>
      </w:r>
      <w:r/>
    </w:p>
    <w:p>
      <w:pPr>
        <w:pStyle w:val="ListBullet"/>
        <w:spacing w:line="240" w:lineRule="auto"/>
        <w:ind w:left="720"/>
      </w:pPr>
      <w:r/>
      <w:r>
        <w:t>Stewards Investment Capital from Mauritius</w:t>
      </w:r>
      <w:r/>
    </w:p>
    <w:p>
      <w:pPr>
        <w:pStyle w:val="ListBullet"/>
        <w:spacing w:line="240" w:lineRule="auto"/>
        <w:ind w:left="720"/>
      </w:pPr>
      <w:r/>
      <w:r>
        <w:t>BBVA from Mexico</w:t>
      </w:r>
      <w:r/>
    </w:p>
    <w:p>
      <w:pPr>
        <w:pStyle w:val="ListBullet"/>
        <w:spacing w:line="240" w:lineRule="auto"/>
        <w:ind w:left="720"/>
      </w:pPr>
      <w:r/>
      <w:r>
        <w:t>Wafa Gestion from Morocco</w:t>
      </w:r>
      <w:r/>
    </w:p>
    <w:p>
      <w:pPr>
        <w:pStyle w:val="ListBullet"/>
        <w:spacing w:line="240" w:lineRule="auto"/>
        <w:ind w:left="720"/>
      </w:pPr>
      <w:r/>
      <w:r>
        <w:t>Al Meezan Investments from Pakistan</w:t>
      </w:r>
      <w:r/>
    </w:p>
    <w:p>
      <w:pPr>
        <w:pStyle w:val="ListBullet"/>
        <w:spacing w:line="240" w:lineRule="auto"/>
        <w:ind w:left="720"/>
      </w:pPr>
      <w:r/>
      <w:r>
        <w:t>Qinvest from Qatar</w:t>
      </w:r>
      <w:r/>
    </w:p>
    <w:p>
      <w:pPr>
        <w:pStyle w:val="ListBullet"/>
        <w:spacing w:line="240" w:lineRule="auto"/>
        <w:ind w:left="720"/>
      </w:pPr>
      <w:r/>
      <w:r>
        <w:t>Alistithmar Capital from Saudi Arabia</w:t>
      </w:r>
      <w:r/>
    </w:p>
    <w:p>
      <w:pPr>
        <w:pStyle w:val="ListBullet"/>
        <w:spacing w:line="240" w:lineRule="auto"/>
        <w:ind w:left="720"/>
      </w:pPr>
      <w:r/>
      <w:r>
        <w:t>UOB Asset Management from Singapore</w:t>
      </w:r>
      <w:r/>
    </w:p>
    <w:p>
      <w:pPr>
        <w:pStyle w:val="ListBullet"/>
        <w:spacing w:line="240" w:lineRule="auto"/>
        <w:ind w:left="720"/>
      </w:pPr>
      <w:r/>
      <w:r>
        <w:t>UOB (Thai) Asset Management from Thailand</w:t>
      </w:r>
      <w:r/>
    </w:p>
    <w:p>
      <w:pPr>
        <w:pStyle w:val="ListBullet"/>
        <w:spacing w:line="240" w:lineRule="auto"/>
        <w:ind w:left="720"/>
      </w:pPr>
      <w:r/>
      <w:r>
        <w:t>Ak Asset Management from Turkey</w:t>
      </w:r>
      <w:r/>
    </w:p>
    <w:p>
      <w:pPr>
        <w:pStyle w:val="ListBullet"/>
        <w:spacing w:line="240" w:lineRule="auto"/>
        <w:ind w:left="720"/>
      </w:pPr>
      <w:r/>
      <w:r>
        <w:t>SHUAA Capital from the UAE</w:t>
      </w:r>
      <w:r/>
    </w:p>
    <w:p>
      <w:pPr>
        <w:pStyle w:val="ListBullet"/>
        <w:spacing w:line="240" w:lineRule="auto"/>
        <w:ind w:left="720"/>
      </w:pPr>
      <w:r/>
      <w:r>
        <w:t>VinaCapital from Vietnam</w:t>
      </w:r>
      <w:r/>
      <w:r/>
    </w:p>
    <w:p>
      <w:r/>
      <w:r>
        <w:t>These firms have distinguished themselves by not only responding effectively to current market conditions but also by actively shaping the future of the investment management industry. As the landscape continues to evolve, these leaders are expected to play a critical role in establishing new standards and practices that leverage technological advancements and address investor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https://www2.deloitte.com/ca/en/pages/financial-services/articles/2024-investment-management-outlook.html</w:t>
        </w:r>
      </w:hyperlink>
      <w:r>
        <w:t xml:space="preserve"> - Corroborates the technological transformation and the need for investment in technology and associated controls in the investment management sector.</w:t>
      </w:r>
      <w:r/>
    </w:p>
    <w:p>
      <w:pPr>
        <w:pStyle w:val="ListNumber"/>
        <w:spacing w:line="240" w:lineRule="auto"/>
        <w:ind w:left="720"/>
      </w:pPr>
      <w:r/>
      <w:hyperlink r:id="rId11">
        <w:r>
          <w:rPr>
            <w:color w:val="0000EE"/>
            <w:u w:val="single"/>
          </w:rPr>
          <w:t>https://www2.deloitte.com/content/dam/Deloitte/cn/Documents/financial-services/deloite-cn-fsi-2024-investment-management-outlook-en-231222.pdf</w:t>
        </w:r>
      </w:hyperlink>
      <w:r>
        <w:t xml:space="preserve"> - Supports the emerging trends in product development, such as theme-driven portfolio construction, and the importance of technology and governance.</w:t>
      </w:r>
      <w:r/>
    </w:p>
    <w:p>
      <w:pPr>
        <w:pStyle w:val="ListNumber"/>
        <w:spacing w:line="240" w:lineRule="auto"/>
        <w:ind w:left="720"/>
      </w:pPr>
      <w:r/>
      <w:hyperlink r:id="rId12">
        <w:r>
          <w:rPr>
            <w:color w:val="0000EE"/>
            <w:u w:val="single"/>
          </w:rPr>
          <w:t>https://www2.deloitte.com/us/en/pages/regulatory/articles/investment-management-regulatory-outlook.html</w:t>
        </w:r>
      </w:hyperlink>
      <w:r>
        <w:t xml:space="preserve"> - Highlights the intense regulatory and operational changes, including the need for firms to stay current on compliance demands and the impact of new regulations.</w:t>
      </w:r>
      <w:r/>
    </w:p>
    <w:p>
      <w:pPr>
        <w:pStyle w:val="ListNumber"/>
        <w:spacing w:line="240" w:lineRule="auto"/>
        <w:ind w:left="720"/>
      </w:pPr>
      <w:r/>
      <w:hyperlink r:id="rId13">
        <w:r>
          <w:rPr>
            <w:color w:val="0000EE"/>
            <w:u w:val="single"/>
          </w:rPr>
          <w:t>https://www2.deloitte.com/cn/en/pages/financial-services/articles/financial-services-industry-outlooks-2024/investment-management-industry-outlook.html</w:t>
        </w:r>
      </w:hyperlink>
      <w:r>
        <w:t xml:space="preserve"> - Discusses the growing investor appetite for low-cost funds, the role of AI, and the need for firms to adapt to technological advancements and regulatory pressures.</w:t>
      </w:r>
      <w:r/>
    </w:p>
    <w:p>
      <w:pPr>
        <w:pStyle w:val="ListNumber"/>
        <w:spacing w:line="240" w:lineRule="auto"/>
        <w:ind w:left="720"/>
      </w:pPr>
      <w:r/>
      <w:hyperlink r:id="rId14">
        <w:r>
          <w:rPr>
            <w:color w:val="0000EE"/>
            <w:u w:val="single"/>
          </w:rPr>
          <w:t>https://www2.deloitte.com/us/en/insights/industry/financial-services/financial-services-industry-outlooks/investment-management-industry-outlook.html</w:t>
        </w:r>
      </w:hyperlink>
      <w:r>
        <w:t xml:space="preserve"> - Details the trend of low-cost funds, the rise of passive and active ETFs, and the challenges of integrating AI technologies into investment management operations.</w:t>
      </w:r>
      <w:r/>
    </w:p>
    <w:p>
      <w:pPr>
        <w:pStyle w:val="ListNumber"/>
        <w:spacing w:line="240" w:lineRule="auto"/>
        <w:ind w:left="720"/>
      </w:pPr>
      <w:r/>
      <w:hyperlink r:id="rId10">
        <w:r>
          <w:rPr>
            <w:color w:val="0000EE"/>
            <w:u w:val="single"/>
          </w:rPr>
          <w:t>https://www2.deloitte.com/ca/en/pages/financial-services/articles/2024-investment-management-outlook.html</w:t>
        </w:r>
      </w:hyperlink>
      <w:r>
        <w:t xml:space="preserve"> - Explains the critical risks associated with digital transformation, technological progress, and cybersecurity in the investment management sector.</w:t>
      </w:r>
      <w:r/>
    </w:p>
    <w:p>
      <w:pPr>
        <w:pStyle w:val="ListNumber"/>
        <w:spacing w:line="240" w:lineRule="auto"/>
        <w:ind w:left="720"/>
      </w:pPr>
      <w:r/>
      <w:hyperlink r:id="rId11">
        <w:r>
          <w:rPr>
            <w:color w:val="0000EE"/>
            <w:u w:val="single"/>
          </w:rPr>
          <w:t>https://www2.deloitte.com/content/dam/Deloitte/cn/Documents/financial-services/deloite-cn-fsi-2024-investment-management-outlook-en-231222.pdf</w:t>
        </w:r>
      </w:hyperlink>
      <w:r>
        <w:t xml:space="preserve"> - Provides insights into the evolving investor preferences, shrinking profit margins, and the impact of high interest rates on the investment management industry.</w:t>
      </w:r>
      <w:r/>
    </w:p>
    <w:p>
      <w:pPr>
        <w:pStyle w:val="ListNumber"/>
        <w:spacing w:line="240" w:lineRule="auto"/>
        <w:ind w:left="720"/>
      </w:pPr>
      <w:r/>
      <w:hyperlink r:id="rId12">
        <w:r>
          <w:rPr>
            <w:color w:val="0000EE"/>
            <w:u w:val="single"/>
          </w:rPr>
          <w:t>https://www2.deloitte.com/us/en/pages/regulatory/articles/investment-management-regulatory-outlook.html</w:t>
        </w:r>
      </w:hyperlink>
      <w:r>
        <w:t xml:space="preserve"> - Addresses the increasing regulatory demands and the need for firms to navigate these changes effectively to avoid regulatory fines and maintain compliance.</w:t>
      </w:r>
      <w:r/>
    </w:p>
    <w:p>
      <w:pPr>
        <w:pStyle w:val="ListNumber"/>
        <w:spacing w:line="240" w:lineRule="auto"/>
        <w:ind w:left="720"/>
      </w:pPr>
      <w:r/>
      <w:hyperlink r:id="rId13">
        <w:r>
          <w:rPr>
            <w:color w:val="0000EE"/>
            <w:u w:val="single"/>
          </w:rPr>
          <w:t>https://www2.deloitte.com/cn/en/pages/financial-services/articles/financial-services-industry-outlooks-2024/investment-management-industry-outlook.html</w:t>
        </w:r>
      </w:hyperlink>
      <w:r>
        <w:t xml:space="preserve"> - Highlights the importance of aligning organizational models with a strong sense of purpose to enhance culture, efficiency, productivity, and collaboration.</w:t>
      </w:r>
      <w:r/>
    </w:p>
    <w:p>
      <w:pPr>
        <w:pStyle w:val="ListNumber"/>
        <w:spacing w:line="240" w:lineRule="auto"/>
        <w:ind w:left="720"/>
      </w:pPr>
      <w:r/>
      <w:hyperlink r:id="rId14">
        <w:r>
          <w:rPr>
            <w:color w:val="0000EE"/>
            <w:u w:val="single"/>
          </w:rPr>
          <w:t>https://www2.deloitte.com/us/en/insights/industry/financial-services/financial-services-industry-outlooks/investment-management-industry-outlook.html</w:t>
        </w:r>
      </w:hyperlink>
      <w:r>
        <w:t xml:space="preserve"> - Discusses the transition towards broader adoption of emerging technologies in 2025 and the associated risk/reward curve for investment management firms.</w:t>
      </w:r>
      <w:r/>
    </w:p>
    <w:p>
      <w:pPr>
        <w:pStyle w:val="ListNumber"/>
        <w:spacing w:line="240" w:lineRule="auto"/>
        <w:ind w:left="720"/>
      </w:pPr>
      <w:r/>
      <w:hyperlink r:id="rId10">
        <w:r>
          <w:rPr>
            <w:color w:val="0000EE"/>
            <w:u w:val="single"/>
          </w:rPr>
          <w:t>https://www2.deloitte.com/ca/en/pages/financial-services/articles/2024-investment-management-outlook.html</w:t>
        </w:r>
      </w:hyperlink>
      <w:r>
        <w:t xml:space="preserve"> - Emphasizes the role of leaders in shaping the future of the investment management industry by leveraging technological advancements and addressing investor needs.</w:t>
      </w:r>
      <w:r/>
    </w:p>
    <w:p>
      <w:pPr>
        <w:pStyle w:val="ListNumber"/>
        <w:spacing w:line="240" w:lineRule="auto"/>
        <w:ind w:left="720"/>
      </w:pPr>
      <w:r/>
      <w:hyperlink r:id="rId15">
        <w:r>
          <w:rPr>
            <w:color w:val="0000EE"/>
            <w:u w:val="single"/>
          </w:rPr>
          <w:t>https://www.worldfinance.com/awards/investment-management-awards-2024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ca/en/pages/financial-services/articles/2024-investment-management-outlook.html" TargetMode="External"/><Relationship Id="rId11" Type="http://schemas.openxmlformats.org/officeDocument/2006/relationships/hyperlink" Target="https://www2.deloitte.com/content/dam/Deloitte/cn/Documents/financial-services/deloite-cn-fsi-2024-investment-management-outlook-en-231222.pdf" TargetMode="External"/><Relationship Id="rId12" Type="http://schemas.openxmlformats.org/officeDocument/2006/relationships/hyperlink" Target="https://www2.deloitte.com/us/en/pages/regulatory/articles/investment-management-regulatory-outlook.html" TargetMode="External"/><Relationship Id="rId13" Type="http://schemas.openxmlformats.org/officeDocument/2006/relationships/hyperlink" Target="https://www2.deloitte.com/cn/en/pages/financial-services/articles/financial-services-industry-outlooks-2024/investment-management-industry-outlook.html" TargetMode="External"/><Relationship Id="rId14" Type="http://schemas.openxmlformats.org/officeDocument/2006/relationships/hyperlink" Target="https://www2.deloitte.com/us/en/insights/industry/financial-services/financial-services-industry-outlooks/investment-management-industry-outlook.html" TargetMode="External"/><Relationship Id="rId15" Type="http://schemas.openxmlformats.org/officeDocument/2006/relationships/hyperlink" Target="https://www.worldfinance.com/awards/investment-management-award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