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SoundHound AI poised for significant growth as investors seek Palantir-like success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Palantir Technologies (NYSE: PLTR) has emerged as a standout performer in the stock market, recording a substantial surge of approximately 275% year-to-date as of late 2024. This level of growth has generated considerable enthusiasm among investors searching for potential high-performing stocks that could replicate or even exceed the success of Palantir.</w:t>
      </w:r>
      <w:r/>
    </w:p>
    <w:p>
      <w:r/>
      <w:r>
        <w:t>Within the flourishing domain of artificial intelligence (AI) investments, SoundHound AI (NASDAQ: SOUN) has garnered attention as a leading contender capable of similar performance. This company operates a sophisticated AI-driven audio recognition platform, effectively transforming speech input into a format that AI systems can process. The implications of this technology extend across various sectors, showcasing its versatile application in environments such as drive-thru services, automotive digital assistants, and banking operations.</w:t>
      </w:r>
      <w:r/>
    </w:p>
    <w:p>
      <w:r/>
      <w:r>
        <w:t>SoundHound AI has demonstrated remarkable growth in its business operations, with third-quarter revenue reaching $25 million, marking an impressive year-over-year increase of 89%. Though its revenue figures are considerably smaller compared to Palantir's $725 million, SoundHound AI is positioned at the forefront of what many analysts describe as the initial phases of significant business expansion.</w:t>
      </w:r>
      <w:r/>
    </w:p>
    <w:p>
      <w:r/>
      <w:r>
        <w:t>A critical aspect of SoundHound AI’s potential is its substantial revenue backlog, which signifies the anticipated income from secured contracts expected to materialise over the next several years. According to company management, this backlog exceeds $1 billion over a six-year span, indicating robust growth prospects. For 2025, they forecast revenues between $155 million and $175 million, effectively doubling projected revenues of $84 million for 2024. This trend suggests not only immediate growth but a continued upward trajectory beyond 2025.</w:t>
      </w:r>
      <w:r/>
    </w:p>
    <w:p>
      <w:r/>
      <w:r>
        <w:t>Moreover, the diversification of SoundHound AI’s revenue sources further reinforces its growth prospects. Previously, the bulk of its revenue—90%—derived from the automotive sector. However, the current distribution is significantly more balanced, with no sector now contributing more than 25% of total income. Additionally, reliance on any single customer has lessened dramatically; last year, 72% of revenue was attributed to one client, while this year, the largest customer comprises only 12% of total sales.</w:t>
      </w:r>
      <w:r/>
    </w:p>
    <w:p>
      <w:r/>
      <w:r>
        <w:t>As companies continue to explore the extensive opportunities presented by AI automation, SoundHound AI stands as a notable player in this evolving landscape, reflecting broad industry potential that aligns with the rising trend of AI-driven solutions across various sectors. Investors and analysts alike will be observing the company closely as it pursues its ambitious growth strategy in the coming years.</w:t>
      </w:r>
      <w:r/>
    </w:p>
    <w:p>
      <w:r/>
      <w:r>
        <w:t xml:space="preserve">Source: </w:t>
      </w:r>
      <w:hyperlink r:id="rId9">
        <w:r>
          <w:rPr>
            <w:color w:val="0000EE"/>
            <w:u w:val="single"/>
          </w:rPr>
          <w:t>Noah Wire Services</w:t>
        </w:r>
      </w:hyperlink>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