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of confidence in private capital markets as managers anticipate increased allocations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 II Fund Services has published its latest Core Alternative Managers' Mood Index (Cammi) report, indicating a surge of confidence in private capital markets as stakeholders look towards the investment landscape of 2025. The report, derived from a pan-European survey involving over 120 managers across various private market asset classes, reveals that 40% of fund managers anticipate an increase in investor allocations to private capital in the upcoming year, while 33% expect allocations to remain stable. In contrast, 27% forecast a decline in exposure to these investments.</w:t>
      </w:r>
      <w:r/>
    </w:p>
    <w:p>
      <w:r/>
      <w:r>
        <w:t>The overall Cammi score, which serves as an indicator of sentiment in private equity, real assets, and private credit, has notably rebounded to 56.61, up from 42.37 recorded last year. This index is designed to summarise the allocation trends and perspectives of fund managers regarding whether their capital allocations are on the rise, falling, or remaining unchanged. Scores above 50 suggest an increase in allocations, those below 50 suggest a decline, while a score of exactly 50 indicates no change.</w:t>
      </w:r>
      <w:r/>
    </w:p>
    <w:p>
      <w:r/>
      <w:r>
        <w:t>Particularly noteworthy is the segment on venture capital, which shines with a Cammi score of 59.05. Alex Di Santo, the head of private equity for Europe at Gen II, remarked on the buoyancy of this sector, stating, “With steady demand from institutional investors for early-stage, innovation-driven investments, especially around themes like technology, health, and energy, good market opportunities are returning. Consequently, this score is also a vote of confidence from these fund managers that the fundraising environment in 2025 will be easier than in 2024.”</w:t>
      </w:r>
      <w:r/>
    </w:p>
    <w:p>
      <w:r/>
      <w:r>
        <w:t>Despite the overall optimism in private equity, traditional investment strategies like buyouts are experiencing a slight slowdown, as indicated by a Cammi score of 55.19. Fund managers attribute this dip to heightened competition and consolidation among larger players, which has resulted in a more cautious approach to fundraising. Meanwhile, there is cautious optimism surrounding secondary markets, bolstered by technological advancements like tokenisation, which are likely to enhance market accessibility.</w:t>
      </w:r>
      <w:r/>
    </w:p>
    <w:p>
      <w:r/>
      <w:r>
        <w:t>Real assets are also gaining ground, with their segment reflecting a Cammi score of 58.87. The report points to robust momentum within the residential sector, propelled by urbanisation trends, increasing rents, and favourably responsive government policies. Many fund managers are diversifying their investments into resilient and high-growth sectors to better adapt to evolving market dynamics and manage inherent risks.</w:t>
      </w:r>
      <w:r/>
    </w:p>
    <w:p>
      <w:r/>
      <w:r>
        <w:t>Private credit, which has recently encountered a challenging environment, shows signs of cautious growth with a Cammi score of 55.83. According to the report, managers are meticulously navigating the shifting credit landscape to leverage emerging opportunities.</w:t>
      </w:r>
      <w:r/>
    </w:p>
    <w:p>
      <w:r/>
      <w:r>
        <w:t>In addition to allocation trends, the report highlights the rising priority of cybersecurity in investor due diligence. This reflects a growing awareness and concern over digital threats in the financial landscape. Furthermore, the report notes that tokenisation in the secondaries market is gaining prominence, potentially altering the manner in which private market assets are traded and accessed.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https://funds-europe.com/private-capital-allocations-to-rise-in-2025-cammi-report/</w:t>
        </w:r>
      </w:hyperlink>
      <w:r>
        <w:t xml:space="preserve"> - Corroborates the overall Cammi score, the expectations of fund managers regarding investor allocations to private capital, and the specific Cammi scores for venture capital, private equity, real assets, and private credit.</w:t>
      </w:r>
      <w:r/>
    </w:p>
    <w:p>
      <w:pPr>
        <w:pStyle w:val="ListNumber"/>
        <w:spacing w:line="240" w:lineRule="auto"/>
        <w:ind w:left="720"/>
      </w:pPr>
      <w:r/>
      <w:hyperlink r:id="rId11">
        <w:r>
          <w:rPr>
            <w:color w:val="0000EE"/>
            <w:u w:val="single"/>
          </w:rPr>
          <w:t>https://delano.lu/article/index-indicates-private-capita</w:t>
        </w:r>
      </w:hyperlink>
      <w:r>
        <w:t xml:space="preserve"> - Supports the findings of the Cammi report, including the increase in the Cammi score, expectations of fund managers, and the prevailing direction of allocation in private market funds.</w:t>
      </w:r>
      <w:r/>
    </w:p>
    <w:p>
      <w:pPr>
        <w:pStyle w:val="ListNumber"/>
        <w:spacing w:line="240" w:lineRule="auto"/>
        <w:ind w:left="720"/>
      </w:pPr>
      <w:r/>
      <w:hyperlink r:id="rId10">
        <w:r>
          <w:rPr>
            <w:color w:val="0000EE"/>
            <w:u w:val="single"/>
          </w:rPr>
          <w:t>https://funds-europe.com/private-capital-allocations-to-rise-in-2025-cammi-report/</w:t>
        </w:r>
      </w:hyperlink>
      <w:r>
        <w:t xml:space="preserve"> - Provides details on the segment of venture capital, including the Cammi score and the comments from Alex Di Santo on the sector's buoyancy and market opportunities.</w:t>
      </w:r>
      <w:r/>
    </w:p>
    <w:p>
      <w:pPr>
        <w:pStyle w:val="ListNumber"/>
        <w:spacing w:line="240" w:lineRule="auto"/>
        <w:ind w:left="720"/>
      </w:pPr>
      <w:r/>
      <w:hyperlink r:id="rId11">
        <w:r>
          <w:rPr>
            <w:color w:val="0000EE"/>
            <w:u w:val="single"/>
          </w:rPr>
          <w:t>https://delano.lu/article/index-indicates-private-capita</w:t>
        </w:r>
      </w:hyperlink>
      <w:r>
        <w:t xml:space="preserve"> - Explains the methodology of the Cammi index, including how scores above 50 indicate an increase in allocations, below 50 a decrease, and exactly 50 no change.</w:t>
      </w:r>
      <w:r/>
    </w:p>
    <w:p>
      <w:pPr>
        <w:pStyle w:val="ListNumber"/>
        <w:spacing w:line="240" w:lineRule="auto"/>
        <w:ind w:left="720"/>
      </w:pPr>
      <w:r/>
      <w:hyperlink r:id="rId10">
        <w:r>
          <w:rPr>
            <w:color w:val="0000EE"/>
            <w:u w:val="single"/>
          </w:rPr>
          <w:t>https://funds-europe.com/private-capital-allocations-to-rise-in-2025-cammi-report/</w:t>
        </w:r>
      </w:hyperlink>
      <w:r>
        <w:t xml:space="preserve"> - Discusses the slowdown in traditional private equity strategies like buyouts, the cautious optimism in secondary markets, and the impact of tokenisation.</w:t>
      </w:r>
      <w:r/>
    </w:p>
    <w:p>
      <w:pPr>
        <w:pStyle w:val="ListNumber"/>
        <w:spacing w:line="240" w:lineRule="auto"/>
        <w:ind w:left="720"/>
      </w:pPr>
      <w:r/>
      <w:hyperlink r:id="rId11">
        <w:r>
          <w:rPr>
            <w:color w:val="0000EE"/>
            <w:u w:val="single"/>
          </w:rPr>
          <w:t>https://delano.lu/article/index-indicates-private-capita</w:t>
        </w:r>
      </w:hyperlink>
      <w:r>
        <w:t xml:space="preserve"> - Highlights the robust momentum in real assets, particularly in the residential sector, driven by urbanisation, rising rents, and supportive government policies.</w:t>
      </w:r>
      <w:r/>
    </w:p>
    <w:p>
      <w:pPr>
        <w:pStyle w:val="ListNumber"/>
        <w:spacing w:line="240" w:lineRule="auto"/>
        <w:ind w:left="720"/>
      </w:pPr>
      <w:r/>
      <w:hyperlink r:id="rId10">
        <w:r>
          <w:rPr>
            <w:color w:val="0000EE"/>
            <w:u w:val="single"/>
          </w:rPr>
          <w:t>https://funds-europe.com/private-capital-allocations-to-rise-in-2025-cammi-report/</w:t>
        </w:r>
      </w:hyperlink>
      <w:r>
        <w:t xml:space="preserve"> - Details the cautious growth in private credit and the careful navigation of the evolving credit landscape by managers to leverage emerging opportunities.</w:t>
      </w:r>
      <w:r/>
    </w:p>
    <w:p>
      <w:pPr>
        <w:pStyle w:val="ListNumber"/>
        <w:spacing w:line="240" w:lineRule="auto"/>
        <w:ind w:left="720"/>
      </w:pPr>
      <w:r/>
      <w:hyperlink r:id="rId11">
        <w:r>
          <w:rPr>
            <w:color w:val="0000EE"/>
            <w:u w:val="single"/>
          </w:rPr>
          <w:t>https://delano.lu/article/index-indicates-private-capita</w:t>
        </w:r>
      </w:hyperlink>
      <w:r>
        <w:t xml:space="preserve"> - Mentions the rising priority of cybersecurity in investor due diligence and the growing prominence of tokenisation in the secondaries market.</w:t>
      </w:r>
      <w:r/>
    </w:p>
    <w:p>
      <w:pPr>
        <w:pStyle w:val="ListNumber"/>
        <w:spacing w:line="240" w:lineRule="auto"/>
        <w:ind w:left="720"/>
      </w:pPr>
      <w:r/>
      <w:hyperlink r:id="rId10">
        <w:r>
          <w:rPr>
            <w:color w:val="0000EE"/>
            <w:u w:val="single"/>
          </w:rPr>
          <w:t>https://funds-europe.com/private-capital-allocations-to-rise-in-2025-cammi-report/</w:t>
        </w:r>
      </w:hyperlink>
      <w:r>
        <w:t xml:space="preserve"> - Corroborates the survey details, including the number of managers involved and the geographic distribution of respondents.</w:t>
      </w:r>
      <w:r/>
    </w:p>
    <w:p>
      <w:pPr>
        <w:pStyle w:val="ListNumber"/>
        <w:spacing w:line="240" w:lineRule="auto"/>
        <w:ind w:left="720"/>
      </w:pPr>
      <w:r/>
      <w:hyperlink r:id="rId11">
        <w:r>
          <w:rPr>
            <w:color w:val="0000EE"/>
            <w:u w:val="single"/>
          </w:rPr>
          <w:t>https://delano.lu/article/index-indicates-private-capita</w:t>
        </w:r>
      </w:hyperlink>
      <w:r>
        <w:t xml:space="preserve"> - Supports the overall optimism and the rebound in the Cammi score from the previous year, indicating increased confidence in private capital markets.</w:t>
      </w:r>
      <w:r/>
    </w:p>
    <w:p>
      <w:pPr>
        <w:pStyle w:val="ListNumber"/>
        <w:spacing w:line="240" w:lineRule="auto"/>
        <w:ind w:left="720"/>
      </w:pPr>
      <w:r/>
      <w:hyperlink r:id="rId10">
        <w:r>
          <w:rPr>
            <w:color w:val="0000EE"/>
            <w:u w:val="single"/>
          </w:rPr>
          <w:t>https://funds-europe.com/private-capital-allocations-to-rise-in-2025-cammi-report/</w:t>
        </w:r>
      </w:hyperlink>
      <w:r>
        <w:t xml:space="preserve"> - Provides additional context on the diversification strategies of fund managers into resilient and high-growth sectors to manage risks and adapt to market dynamics.</w:t>
      </w:r>
      <w:r/>
    </w:p>
    <w:p>
      <w:pPr>
        <w:pStyle w:val="ListNumber"/>
        <w:spacing w:line="240" w:lineRule="auto"/>
        <w:ind w:left="720"/>
      </w:pPr>
      <w:r/>
      <w:hyperlink r:id="rId10">
        <w:r>
          <w:rPr>
            <w:color w:val="0000EE"/>
            <w:u w:val="single"/>
          </w:rPr>
          <w:t>https://funds-europe.com/private-capital-allocations-to-rise-in-2025-cammi-report/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nds-europe.com/private-capital-allocations-to-rise-in-2025-cammi-report/" TargetMode="External"/><Relationship Id="rId11" Type="http://schemas.openxmlformats.org/officeDocument/2006/relationships/hyperlink" Target="https://delano.lu/article/index-indicates-private-capi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