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contemplates advertising as revenue stream amid evolving digital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known for its leading advancements in artificial intelligence, is reportedly exploring the possibility of introducing advertising as a revenue stream in the future. During a recent Q&amp;A with the company's CFO, Sarah Friar, she stated, “I don’t preclude [ads],” according to sources cited by the Financial Times. This suggests a shift in strategy for OpenAI, which has been primarily focused on subscription models and API access to generate income. Currently valued at $150 billion, the company faces pressures to diversify its revenue to maintain such high valuation figures.</w:t>
      </w:r>
      <w:r/>
    </w:p>
    <w:p>
      <w:r/>
      <w:r>
        <w:t>Friar noted that OpenAI has been enhancing its team with experienced personnel from advertising backgrounds, such as Kevin Weil, the product chief formerly of Instagram, and Shivakumar Venkataraman, a former Google Search executive. She acknowledged the complexities of entering the advertising sector, highlighting that a reliance on ad revenue could complicate OpenAI's core mission of serving user needs without the influences of advertiser interests.</w:t>
      </w:r>
      <w:r/>
    </w:p>
    <w:p>
      <w:r/>
      <w:r>
        <w:t>In a related development within the media landscape, children's programming is significantly impacting streaming ratings and retail market performances. A New York Times piece spotlighted Rachel Accurso, known as “Ms. Rachel” from her successful YouTube channel. Her transition from ad revenue on YouTube to high sales figures in connected television (CTV) shows how engaging children’s content can shape market trends. Popular children's shows like Bluey, CoComelon, and Peppa Pig are achieving record views, consistently charting high on streaming platforms, driven largely by continuous replay by parents.</w:t>
      </w:r>
      <w:r/>
    </w:p>
    <w:p>
      <w:r/>
      <w:r>
        <w:t>Amidst the evolving landscape of online advertising, a serious concern has arisen regarding “malvertising,” or malicious online advertising scams that distribute malware. Wired reports that these scams are proliferating, particularly on search result pages, where fraudsters deploy phishing techniques and exploit unsuspecting users. Google has faced challenges in managing this surging malvertising problem, having blocked over five billion ads and nearly 13 million accounts in 2023 alone, yet it appears that such malicious efforts continue to escalate.</w:t>
      </w:r>
      <w:r/>
    </w:p>
    <w:p>
      <w:r/>
      <w:r>
        <w:t>Meanwhile, other noteworthy trends are emerging in the world of AI and business automation. A report by the Search Engine Journal indicates that user engagement on the social platform Bluesky is notably higher than on others, suggesting a shift in user preferences. Additionally, a study from Fortune found that generative AI use among knowledge workers is most prevalent in countries like India, China, and Mexico, indicating a growing appetite for AI integration in business practices worldwide.</w:t>
      </w:r>
      <w:r/>
    </w:p>
    <w:p>
      <w:r/>
      <w:r>
        <w:t>Amidst these developments, Amazon Web Services has announced plans to launch physical kiosks, enabling customers to upload their data directly. This move could reshape how businesses handle data and AI integration. However, not all news is positive, as Canada’s Competition Bureau has filed a lawsuit against Google’s advertising operations, alleging anti-competitive conduct, which could lead to significant changes in the digital advertising landscape.</w:t>
      </w:r>
      <w:r/>
    </w:p>
    <w:p>
      <w:r/>
      <w:r>
        <w:t>In legal matters impacting the AI domain, a coalition of Canadian publishers has initiated a lawsuit against OpenAI, citing alleged copyright infringement. These developments underscore the complexities and challenges associated with the rapid evolution of AI, advertising, and digital content consumption.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