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changing dynamics of ESG regulations amid political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landscape of Environmental, Social, and Governance (ESG) regulations and trends is being shaped by a series of legislative actions and political developments in the United States and internationally. As captured in recent reports, the impacts of the upcoming US elections on the ESG sphere are of significant concern, particularly regarding potential shifts in regulatory frameworks.</w:t>
      </w:r>
      <w:r/>
    </w:p>
    <w:p>
      <w:r/>
      <w:r>
        <w:t>A potential Republican win in the upcoming elections is expected to influence the ESG landscape considerably. Should Republicans maintain or gain control over federal governance, significant rollbacks of climate and sustainability policies could ensue. The current regulatory framework established by the Securities and Exchange Commission (SEC) could face substantial delays or reversals under new leadership, especially concerning the SEC’s climate regulations. There is widespread speculation regarding former President Donald Trump’s commitment to dismantling the Inflation Reduction Act, which supports clean energy investments. These anticipated changes raise questions about the future of ESG compliance for global companies, who will still be required to adhere to international regulations such as the EU’s Corporate Sustainability Reporting Directive (CSRD) and California’s climate disclosure laws.</w:t>
      </w:r>
      <w:r/>
    </w:p>
    <w:p>
      <w:r/>
      <w:r>
        <w:t>In recent local elections, voters in Washington State affirmed their support for the Climate Commitment Act, which mandates that large emission-producing businesses purchase allowances through a cap-and-invest mechanism. More than 60 percent of voters rejected an initiative that aimed to thwart the carbon trading scheme, reflecting a growing public commitment to combatting climate change.</w:t>
      </w:r>
      <w:r/>
    </w:p>
    <w:p>
      <w:r/>
      <w:r>
        <w:t>The forthcoming COP 29 conference will see countries prepare to enhance their climate commitments, revising Nationally Determined Contributions (NDCs) in light of inadequate progress to achieve the targets for limiting global warming. The meeting will also address the need for more robust climate finance to support vulnerable nations and promote the development of effective carbon markets.</w:t>
      </w:r>
      <w:r/>
    </w:p>
    <w:p>
      <w:r/>
      <w:r>
        <w:t>Meanwhile, California’s recently enacted law, AB 3234, will mandate businesses to publicly disclose the results of their voluntary social compliance audits, beginning January 1, 2025. This law underscores the growing trend toward increased corporate transparency in ESG reporting practices.</w:t>
      </w:r>
      <w:r/>
    </w:p>
    <w:p>
      <w:r/>
      <w:r>
        <w:t>The SEC issued a Risk Alert highlighting issues with how registered investment companies present ESG factors in their investment strategies. The alert has triggered scrutiny regarding “greenwashing,” where funds mischaracterize their ESG commitments, a concern that has gained traction in light of a settlement involving WisdomTree Asset Management, which agreed to pay a $4 million fine for misleading marketing practices related to ESG strategies.</w:t>
      </w:r>
      <w:r/>
    </w:p>
    <w:p>
      <w:r/>
      <w:r>
        <w:t>In Europe, the European Securities and Markets Authority (ESMA) has outlined enforcement priorities for 2024 financial reports, aiming to ensure the accuracy of disclosures under the EU Taxonomy Regulation and the Corporate Sustainability Reporting Directive (CSRD). These regulations, set to take effect in stages starting in 2024 and 2025, represent a significant shift in the landscape of corporate accountability concerning sustainability.</w:t>
      </w:r>
      <w:r/>
    </w:p>
    <w:p>
      <w:r/>
      <w:r>
        <w:t>As the regulatory environment for ESG continues to evolve, companies are facing increased litigation risks associated with alleged greenwashing practices. Notable developments include lawsuits alleging misleading advertising by companies that purport to offer eco-friendly products, adding pressure on brands to substantiate their environmental claims.</w:t>
      </w:r>
      <w:r/>
    </w:p>
    <w:p>
      <w:r/>
      <w:r>
        <w:t>Across the Atlantic, Canada is proposing a framework to cap GHG emissions from its oil and gas sector, aiming for a reduction of 35 percent below 2019 levels by 2030. The Canadian plan includes stricter reporting requirements and a cap-and-trade system designed to incentivize decarbonisation in the energy sector.</w:t>
      </w:r>
      <w:r/>
    </w:p>
    <w:p>
      <w:r/>
      <w:r>
        <w:t>In the UK, the government announced its intent to increase the Plastic Packaging Tax rate in line with inflation to continue promoting the use of recycled materials. In parallel, developments concerning forced labour regulations highlight the EU's commitment to improving supply chain integrity through new legislation prohibiting products made under such conditions.</w:t>
      </w:r>
      <w:r/>
    </w:p>
    <w:p>
      <w:r/>
      <w:r>
        <w:t>As the dialogue around climate action and sustainability practices progresses, the potential for greater corporate accountability and transparency in ESG reporting appears set to increase. Corporate finance leaders express concerns over the quality of nonfinancial data in sustainability disclosures, highlighting an urgent need for more rigorous methodologies to combat greenwashing.</w:t>
      </w:r>
      <w:r/>
    </w:p>
    <w:p>
      <w:r/>
      <w:r>
        <w:t>Overall, the intersection of political dynamics, regulatory shifts, and public sentiment surrounding ESG investments signals a period of significant change. Corporations are urged to navigate these complexities prudently as they formulate strategies in a landscape that is rapidly evolving in response to both local and international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https://www.dilitrust.com/esg-trends-2025/</w:t>
        </w:r>
      </w:hyperlink>
      <w:r>
        <w:t xml:space="preserve"> - This article discusses the evolving ESG regulatory landscape, including the EU's Corporate Sustainability Reporting Directive (CSRD) and other European regulations, which corroborates the international regulatory framework mentioned.</w:t>
      </w:r>
      <w:r/>
    </w:p>
    <w:p>
      <w:pPr>
        <w:pStyle w:val="ListNumber"/>
        <w:spacing w:line="240" w:lineRule="auto"/>
        <w:ind w:left="720"/>
      </w:pPr>
      <w:r/>
      <w:hyperlink r:id="rId11">
        <w:r>
          <w:rPr>
            <w:color w:val="0000EE"/>
            <w:u w:val="single"/>
          </w:rPr>
          <w:t>https://www.lw.com/admin/upload/SiteAttachments/ESG-Insights-10-Things-That-Should-Be-Top-of-Mind-in-2024.pdf</w:t>
        </w:r>
      </w:hyperlink>
      <w:r>
        <w:t xml:space="preserve"> - This document outlines key ESG regulatory developments, including the SEC's climate disclosure regulation and the EU's CSRD, which aligns with the potential shifts in regulatory frameworks discussed.</w:t>
      </w:r>
      <w:r/>
    </w:p>
    <w:p>
      <w:pPr>
        <w:pStyle w:val="ListNumber"/>
        <w:spacing w:line="240" w:lineRule="auto"/>
        <w:ind w:left="720"/>
      </w:pPr>
      <w:r/>
      <w:hyperlink r:id="rId12">
        <w:r>
          <w:rPr>
            <w:color w:val="0000EE"/>
            <w:u w:val="single"/>
          </w:rPr>
          <w:t>https://www.skadden.com/insights/publications/2024/07/esg-in-2024-a-mid-year-review</w:t>
        </w:r>
      </w:hyperlink>
      <w:r>
        <w:t xml:space="preserve"> - This article covers ESG trends and regulatory updates, including the impact of US and EU regulations, which supports the discussion on the evolving ESG landscape.</w:t>
      </w:r>
      <w:r/>
    </w:p>
    <w:p>
      <w:pPr>
        <w:pStyle w:val="ListNumber"/>
        <w:spacing w:line="240" w:lineRule="auto"/>
        <w:ind w:left="720"/>
      </w:pPr>
      <w:r/>
      <w:hyperlink r:id="rId13">
        <w:r>
          <w:rPr>
            <w:color w:val="0000EE"/>
            <w:u w:val="single"/>
          </w:rPr>
          <w:t>https://flow.db.com/more/esg/eight-esg-trends-to-watch-in-2024</w:t>
        </w:r>
      </w:hyperlink>
      <w:r>
        <w:t xml:space="preserve"> - This article highlights the importance of clear decarbonisation pathways and EU regulations such as the ESRS, which is relevant to the discussion on corporate sustainability reporting and climate targets.</w:t>
      </w:r>
      <w:r/>
    </w:p>
    <w:p>
      <w:pPr>
        <w:pStyle w:val="ListNumber"/>
        <w:spacing w:line="240" w:lineRule="auto"/>
        <w:ind w:left="720"/>
      </w:pPr>
      <w:r/>
      <w:hyperlink r:id="rId14">
        <w:r>
          <w:rPr>
            <w:color w:val="0000EE"/>
            <w:u w:val="single"/>
          </w:rPr>
          <w:t>https://www.dlapiper.com/en-us/insights/publications/horizon/2024/horizon-esg-regulatory-news-and-trends-august-28-2024</w:t>
        </w:r>
      </w:hyperlink>
      <w:r>
        <w:t xml:space="preserve"> - This article discusses various ESG regulatory developments, including greenwashing directives in the EU and US shifts in plastic pollution policies, which corroborates the section on greenwashing and regulatory enforcement.</w:t>
      </w:r>
      <w:r/>
    </w:p>
    <w:p>
      <w:pPr>
        <w:pStyle w:val="ListNumber"/>
        <w:spacing w:line="240" w:lineRule="auto"/>
        <w:ind w:left="720"/>
      </w:pPr>
      <w:r/>
      <w:hyperlink r:id="rId10">
        <w:r>
          <w:rPr>
            <w:color w:val="0000EE"/>
            <w:u w:val="single"/>
          </w:rPr>
          <w:t>https://www.dilitrust.com/esg-trends-2025/</w:t>
        </w:r>
      </w:hyperlink>
      <w:r>
        <w:t xml:space="preserve"> - This article mentions the EU's Corporate Sustainability Due Diligence Directive (CSDDD) and its impact on companies, supporting the discussion on enhanced corporate accountability and supply chain integrity.</w:t>
      </w:r>
      <w:r/>
    </w:p>
    <w:p>
      <w:pPr>
        <w:pStyle w:val="ListNumber"/>
        <w:spacing w:line="240" w:lineRule="auto"/>
        <w:ind w:left="720"/>
      </w:pPr>
      <w:r/>
      <w:hyperlink r:id="rId11">
        <w:r>
          <w:rPr>
            <w:color w:val="0000EE"/>
            <w:u w:val="single"/>
          </w:rPr>
          <w:t>https://www.lw.com/admin/upload/SiteAttachments/ESG-Insights-10-Things-That-Should-Be-Top-of-Mind-in-2024.pdf</w:t>
        </w:r>
      </w:hyperlink>
      <w:r>
        <w:t xml:space="preserve"> - This document discusses the rise in ESG-related enforcement and litigation, including greenwashing-related issues, which aligns with the section on litigation risks associated with greenwashing.</w:t>
      </w:r>
      <w:r/>
    </w:p>
    <w:p>
      <w:pPr>
        <w:pStyle w:val="ListNumber"/>
        <w:spacing w:line="240" w:lineRule="auto"/>
        <w:ind w:left="720"/>
      </w:pPr>
      <w:r/>
      <w:hyperlink r:id="rId12">
        <w:r>
          <w:rPr>
            <w:color w:val="0000EE"/>
            <w:u w:val="single"/>
          </w:rPr>
          <w:t>https://www.skadden.com/insights/publications/2024/07/esg-in-2024-a-mid-year-review</w:t>
        </w:r>
      </w:hyperlink>
      <w:r>
        <w:t xml:space="preserve"> - This article mentions the enforcement priorities of the European Securities and Markets Authority (ESMA) for 2024 financial reports, supporting the discussion on ensuring the accuracy of ESG disclosures.</w:t>
      </w:r>
      <w:r/>
    </w:p>
    <w:p>
      <w:pPr>
        <w:pStyle w:val="ListNumber"/>
        <w:spacing w:line="240" w:lineRule="auto"/>
        <w:ind w:left="720"/>
      </w:pPr>
      <w:r/>
      <w:hyperlink r:id="rId13">
        <w:r>
          <w:rPr>
            <w:color w:val="0000EE"/>
            <w:u w:val="single"/>
          </w:rPr>
          <w:t>https://flow.db.com/more/esg/eight-esg-trends-to-watch-in-2024</w:t>
        </w:r>
      </w:hyperlink>
      <w:r>
        <w:t xml:space="preserve"> - This article highlights the EU's Green Bond Standard (EuGBS) regulation and the focus on mandatory sustainability disclosures, which is relevant to the discussion on corporate transparency and ESG reporting.</w:t>
      </w:r>
      <w:r/>
    </w:p>
    <w:p>
      <w:pPr>
        <w:pStyle w:val="ListNumber"/>
        <w:spacing w:line="240" w:lineRule="auto"/>
        <w:ind w:left="720"/>
      </w:pPr>
      <w:r/>
      <w:hyperlink r:id="rId14">
        <w:r>
          <w:rPr>
            <w:color w:val="0000EE"/>
            <w:u w:val="single"/>
          </w:rPr>
          <w:t>https://www.dlapiper.com/en-us/insights/publications/horizon/2024/horizon-esg-regulatory-news-and-trends-august-28-2024</w:t>
        </w:r>
      </w:hyperlink>
      <w:r>
        <w:t xml:space="preserve"> - This article discusses Extended Producer Responsibility laws and the US federal government's actions on plastic pollution, supporting the section on local and international regulatory actions.</w:t>
      </w:r>
      <w:r/>
    </w:p>
    <w:p>
      <w:pPr>
        <w:pStyle w:val="ListNumber"/>
        <w:spacing w:line="240" w:lineRule="auto"/>
        <w:ind w:left="720"/>
      </w:pPr>
      <w:r/>
      <w:hyperlink r:id="rId10">
        <w:r>
          <w:rPr>
            <w:color w:val="0000EE"/>
            <w:u w:val="single"/>
          </w:rPr>
          <w:t>https://www.dilitrust.com/esg-trends-2025/</w:t>
        </w:r>
      </w:hyperlink>
      <w:r>
        <w:t xml:space="preserve"> - This article emphasizes the growing public commitment to combating climate change and the importance of corporate social responsibility, aligning with the discussion on public sentiment and corporate accountability.</w:t>
      </w:r>
      <w:r/>
    </w:p>
    <w:p>
      <w:pPr>
        <w:pStyle w:val="ListNumber"/>
        <w:spacing w:line="240" w:lineRule="auto"/>
        <w:ind w:left="720"/>
      </w:pPr>
      <w:r/>
      <w:hyperlink r:id="rId15">
        <w:r>
          <w:rPr>
            <w:color w:val="0000EE"/>
            <w:u w:val="single"/>
          </w:rPr>
          <w:t>https://www.jdsupra.com/legalnews/horizon-esg-regulatory-news-and-trends-6383516/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litrust.com/esg-trends-2025/" TargetMode="External"/><Relationship Id="rId11" Type="http://schemas.openxmlformats.org/officeDocument/2006/relationships/hyperlink" Target="https://www.lw.com/admin/upload/SiteAttachments/ESG-Insights-10-Things-That-Should-Be-Top-of-Mind-in-2024.pdf" TargetMode="External"/><Relationship Id="rId12" Type="http://schemas.openxmlformats.org/officeDocument/2006/relationships/hyperlink" Target="https://www.skadden.com/insights/publications/2024/07/esg-in-2024-a-mid-year-review" TargetMode="External"/><Relationship Id="rId13" Type="http://schemas.openxmlformats.org/officeDocument/2006/relationships/hyperlink" Target="https://flow.db.com/more/esg/eight-esg-trends-to-watch-in-2024" TargetMode="External"/><Relationship Id="rId14" Type="http://schemas.openxmlformats.org/officeDocument/2006/relationships/hyperlink" Target="https://www.dlapiper.com/en-us/insights/publications/horizon/2024/horizon-esg-regulatory-news-and-trends-august-28-2024" TargetMode="External"/><Relationship Id="rId15" Type="http://schemas.openxmlformats.org/officeDocument/2006/relationships/hyperlink" Target="https://www.jdsupra.com/legalnews/horizon-esg-regulatory-news-and-trends-63835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