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crosses $100,000 milestone amid environmental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has recently reached a landmark milestone, crossing the $100,000 threshold for the first time, marking a significant boost for its advocates and investors. This surge, translating to a staggering increase of $40,000 since April, has been closely linked to the anticipation of a more crypto-friendly presidency under Donald Trump, who is in line to take office as President-elect. The enthusiastic outlook from the cryptocurrency community is palpable, highlighting both potential gains and underlying environmental concerns.</w:t>
      </w:r>
      <w:r/>
    </w:p>
    <w:p>
      <w:r/>
      <w:r>
        <w:t>The rising bitcoin prices are particularly beneficial for miners, the companies that utilise advanced computing power to maintain the operation of the bitcoin network. As noted by Fred Thiel, CEO of Mara Holdings, “There’s this period of bull run, as the industry calls it, where miners can make a lot of money because price is running much faster than miners’ ability to add capacity.” Thiel points out that while this current favourable period for mining could last, increased competition will likely emerge as other miners invest in more machinery to capitalise on the price hike.</w:t>
      </w:r>
      <w:r/>
    </w:p>
    <w:p>
      <w:r/>
      <w:r>
        <w:t>Despite the financial windfall for miners, the environmental implications remain concerning. Bitcoin mining reportedly consumes more electricity annually than the entire nation of Poland, raising alarms about sustainability in energy usage. Liz Moran, a policy advocate at Earthjustice, highlighted the environmental repercussions, stating, “In some parts of the country, it’s taking on line gas plants that have actually been shuttered and bringing them back online just for the purposes of cryptocurrency mining.” This shift underscores the industry’s reliance on fossil fuel sources, putting added pressure on energy grids.</w:t>
      </w:r>
      <w:r/>
    </w:p>
    <w:p>
      <w:r/>
      <w:r>
        <w:t>As the cryptocurrency industry vies for energy resources, it is not alone; artificial intelligence (AI) companies are also emerging as significant consumers of electricity. This growing competition for power includes the operation of large data centres that support AI functions. Kristin Smith, CEO of the Blockchain Association, noted that the scrutiny on crypto mining has been more intense compared to that of AI so far. She stated, “I don’t think that we’ve seen that same level of scrutiny with AI. I certainly think it will probably ramp up as it gets bigger going forward.”</w:t>
      </w:r>
      <w:r/>
    </w:p>
    <w:p>
      <w:r/>
      <w:r>
        <w:t>In light of these developments, Smith advocates for the incorporation of more clean energy sources into the grid as a long-term solution to mitigate the strain imposed by both bitcoin mining and data-intensive AI operations. The intersection of cryptocurrency, AI, and energy consumption continues to evolve, prompting discussions surrounding sustainability and technological growth as these sectors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https://www.theregister.com/2024/11/30/cryptocurrency_policy_trump/</w:t>
        </w:r>
      </w:hyperlink>
      <w:r>
        <w:t xml:space="preserve"> - Corroborates the anticipation of a more crypto-friendly presidency under Donald Trump and his support for cryptocurrency policies.</w:t>
      </w:r>
      <w:r/>
    </w:p>
    <w:p>
      <w:pPr>
        <w:pStyle w:val="ListNumber"/>
        <w:spacing w:line="240" w:lineRule="auto"/>
        <w:ind w:left="720"/>
      </w:pPr>
      <w:r/>
      <w:hyperlink r:id="rId10">
        <w:r>
          <w:rPr>
            <w:color w:val="0000EE"/>
            <w:u w:val="single"/>
          </w:rPr>
          <w:t>https://www.theregister.com/2024/11/30/cryptocurrency_policy_trump/</w:t>
        </w:r>
      </w:hyperlink>
      <w:r>
        <w:t xml:space="preserve"> - Provides context on Trump's endorsement of the Bitcoin Act of 2024 and the concept of a strategic Bitcoin reserve.</w:t>
      </w:r>
      <w:r/>
    </w:p>
    <w:p>
      <w:pPr>
        <w:pStyle w:val="ListNumber"/>
        <w:spacing w:line="240" w:lineRule="auto"/>
        <w:ind w:left="720"/>
      </w:pPr>
      <w:r/>
      <w:hyperlink r:id="rId11">
        <w:r>
          <w:rPr>
            <w:color w:val="0000EE"/>
            <w:u w:val="single"/>
          </w:rPr>
          <w:t>https://en.wikipedia.org/wiki/Environmental_impact_of_bitcoin</w:t>
        </w:r>
      </w:hyperlink>
      <w:r>
        <w:t xml:space="preserve"> - Details the environmental implications of bitcoin mining, including high energy consumption and reliance on fossil fuels.</w:t>
      </w:r>
      <w:r/>
    </w:p>
    <w:p>
      <w:pPr>
        <w:pStyle w:val="ListNumber"/>
        <w:spacing w:line="240" w:lineRule="auto"/>
        <w:ind w:left="720"/>
      </w:pPr>
      <w:r/>
      <w:hyperlink r:id="rId11">
        <w:r>
          <w:rPr>
            <w:color w:val="0000EE"/>
            <w:u w:val="single"/>
          </w:rPr>
          <w:t>https://en.wikipedia.org/wiki/Environmental_impact_of_bitcoin</w:t>
        </w:r>
      </w:hyperlink>
      <w:r>
        <w:t xml:space="preserve"> - Highlights the generation of electronic waste and the potential for bitcoin mining to support renewable energy development.</w:t>
      </w:r>
      <w:r/>
    </w:p>
    <w:p>
      <w:pPr>
        <w:pStyle w:val="ListNumber"/>
        <w:spacing w:line="240" w:lineRule="auto"/>
        <w:ind w:left="720"/>
      </w:pPr>
      <w:r/>
      <w:hyperlink r:id="rId12">
        <w:r>
          <w:rPr>
            <w:color w:val="0000EE"/>
            <w:u w:val="single"/>
          </w:rPr>
          <w:t>https://www.bitdeer.com/learn/is-bitcoin-mining-still-profitable-in-2024</w:t>
        </w:r>
      </w:hyperlink>
      <w:r>
        <w:t xml:space="preserve"> - Explains the profitability of bitcoin mining in 2024, including the impact of the halving event and the use of renewable energy sources.</w:t>
      </w:r>
      <w:r/>
    </w:p>
    <w:p>
      <w:pPr>
        <w:pStyle w:val="ListNumber"/>
        <w:spacing w:line="240" w:lineRule="auto"/>
        <w:ind w:left="720"/>
      </w:pPr>
      <w:r/>
      <w:hyperlink r:id="rId12">
        <w:r>
          <w:rPr>
            <w:color w:val="0000EE"/>
            <w:u w:val="single"/>
          </w:rPr>
          <w:t>https://www.bitdeer.com/learn/is-bitcoin-mining-still-profitable-in-2024</w:t>
        </w:r>
      </w:hyperlink>
      <w:r>
        <w:t xml:space="preserve"> - Discusses the efficiency improvements in mining equipment and the use of excess heat generated from mining.</w:t>
      </w:r>
      <w:r/>
    </w:p>
    <w:p>
      <w:pPr>
        <w:pStyle w:val="ListNumber"/>
        <w:spacing w:line="240" w:lineRule="auto"/>
        <w:ind w:left="720"/>
      </w:pPr>
      <w:r/>
      <w:hyperlink r:id="rId12">
        <w:r>
          <w:rPr>
            <w:color w:val="0000EE"/>
            <w:u w:val="single"/>
          </w:rPr>
          <w:t>https://www.bitdeer.com/learn/is-bitcoin-mining-still-profitable-in-2024</w:t>
        </w:r>
      </w:hyperlink>
      <w:r>
        <w:t xml:space="preserve"> - Mentions the high energy consumption of bitcoin mining and the shift towards clean and renewable energy sources.</w:t>
      </w:r>
      <w:r/>
    </w:p>
    <w:p>
      <w:pPr>
        <w:pStyle w:val="ListNumber"/>
        <w:spacing w:line="240" w:lineRule="auto"/>
        <w:ind w:left="720"/>
      </w:pPr>
      <w:r/>
      <w:hyperlink r:id="rId13">
        <w:r>
          <w:rPr>
            <w:color w:val="0000EE"/>
            <w:u w:val="single"/>
          </w:rPr>
          <w:t>https://www.nortonrosefulbright.com/en-us/knowledge/publications/184ac2f1/2024-fintech-outlook</w:t>
        </w:r>
      </w:hyperlink>
      <w:r>
        <w:t xml:space="preserve"> - Provides context on the regulatory landscape for cryptocurrencies in 2024, though not directly related to environmental or mining aspects.</w:t>
      </w:r>
      <w:r/>
    </w:p>
    <w:p>
      <w:pPr>
        <w:pStyle w:val="ListNumber"/>
        <w:spacing w:line="240" w:lineRule="auto"/>
        <w:ind w:left="720"/>
      </w:pPr>
      <w:r/>
      <w:hyperlink r:id="rId11">
        <w:r>
          <w:rPr>
            <w:color w:val="0000EE"/>
            <w:u w:val="single"/>
          </w:rPr>
          <w:t>https://en.wikipedia.org/wiki/Environmental_impact_of_bitcoin</w:t>
        </w:r>
      </w:hyperlink>
      <w:r>
        <w:t xml:space="preserve"> - Corroborates the comparison of bitcoin mining's energy consumption to that of entire nations, such as Poland.</w:t>
      </w:r>
      <w:r/>
    </w:p>
    <w:p>
      <w:pPr>
        <w:pStyle w:val="ListNumber"/>
        <w:spacing w:line="240" w:lineRule="auto"/>
        <w:ind w:left="720"/>
      </w:pPr>
      <w:r/>
      <w:hyperlink r:id="rId12">
        <w:r>
          <w:rPr>
            <w:color w:val="0000EE"/>
            <w:u w:val="single"/>
          </w:rPr>
          <w:t>https://www.bitdeer.com/learn/is-bitcoin-mining-still-profitable-in-2024</w:t>
        </w:r>
      </w:hyperlink>
      <w:r>
        <w:t xml:space="preserve"> - Supports the idea that miners benefit significantly during bull runs due to the rapid increase in bitcoin price.</w:t>
      </w:r>
      <w:r/>
    </w:p>
    <w:p>
      <w:pPr>
        <w:pStyle w:val="ListNumber"/>
        <w:spacing w:line="240" w:lineRule="auto"/>
        <w:ind w:left="720"/>
      </w:pPr>
      <w:r/>
      <w:hyperlink r:id="rId11">
        <w:r>
          <w:rPr>
            <w:color w:val="0000EE"/>
            <w:u w:val="single"/>
          </w:rPr>
          <w:t>https://en.wikipedia.org/wiki/Environmental_impact_of_bitcoin</w:t>
        </w:r>
      </w:hyperlink>
      <w:r>
        <w:t xml:space="preserve"> - Highlights the scrutiny on crypto mining's environmental impact and the need for more sustainable energy solutions.</w:t>
      </w:r>
      <w:r/>
    </w:p>
    <w:p>
      <w:pPr>
        <w:pStyle w:val="ListNumber"/>
        <w:spacing w:line="240" w:lineRule="auto"/>
        <w:ind w:left="720"/>
      </w:pPr>
      <w:r/>
      <w:hyperlink r:id="rId14">
        <w:r>
          <w:rPr>
            <w:color w:val="0000EE"/>
            <w:u w:val="single"/>
          </w:rPr>
          <w:t>https://www.marketplace.org/2024/12/05/bitcoin-mining-surge-energy-grid-electricity-crypto-miners-fossil-fuels/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4/11/30/cryptocurrency_policy_trump/" TargetMode="External"/><Relationship Id="rId11" Type="http://schemas.openxmlformats.org/officeDocument/2006/relationships/hyperlink" Target="https://en.wikipedia.org/wiki/Environmental_impact_of_bitcoin" TargetMode="External"/><Relationship Id="rId12" Type="http://schemas.openxmlformats.org/officeDocument/2006/relationships/hyperlink" Target="https://www.bitdeer.com/learn/is-bitcoin-mining-still-profitable-in-2024" TargetMode="External"/><Relationship Id="rId13" Type="http://schemas.openxmlformats.org/officeDocument/2006/relationships/hyperlink" Target="https://www.nortonrosefulbright.com/en-us/knowledge/publications/184ac2f1/2024-fintech-outlook" TargetMode="External"/><Relationship Id="rId14" Type="http://schemas.openxmlformats.org/officeDocument/2006/relationships/hyperlink" Target="https://www.marketplace.org/2024/12/05/bitcoin-mining-surge-energy-grid-electricity-crypto-miners-fossil-fu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