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developments shape the future of digital assets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legal developments in the realm of digital assets and blockchain technology highlight the ongoing interactions among innovation, regulation, and judicial actions, particularly in the United States. Significant rulings and lawsuits may fundamentally alter how digital asset companies operate and how they are governed.</w:t>
      </w:r>
      <w:r/>
    </w:p>
    <w:p>
      <w:r/>
      <w:r>
        <w:t>On November 15, 2024, eighteen states initiated a lawsuit against the U.S. Securities and Exchange Commission (SEC) in federal court in Kentucky. This action asserts claims of unconstitutional overreach and unjust treatment of the digital asset industry by the SEC. The lawsuit, backed by the DeFi Education Fund, includes states such as Kentucky, Texas, and Florida, among others. Allegations against the SEC focus on its scrutiny of U.S. crypto companies, claiming these actions contradict basic principles of federalism and the separation of powers. This legal challenge could lead to a critical examination of how the SEC applies its regulations, particularly in light of Chair Gary Gensler's impending resignation and the potential for a more digital asset-friendly successor.</w:t>
      </w:r>
      <w:r/>
    </w:p>
    <w:p>
      <w:r/>
      <w:r>
        <w:t>In a separate legal case, a California court ruled on November 18, 2024, that Lido DAO, a decentralised autonomous organisation, might be classified as a general partnership. The decision came in the context of Samuels v. Lido DAO, where investors were deemed as potential general partners, making them liable for actions taken by the DAO. Legal experts suggest that this ruling may spur DAOs to consider structuring themselves under corporate wrappers to limit liability exposure, thereby presenting new frameworks for governance in decentralized platforms.</w:t>
      </w:r>
      <w:r/>
    </w:p>
    <w:p>
      <w:r/>
      <w:r>
        <w:t>The following week, on November 21, a court in the Northern District of Texas struck down the SEC's recently defined "Dealer Rule." The ruling found that the SEC had exceeded its statutory authority by creating an overly broad definition of "dealer" that was not rooted in the actual language of the Securities Exchange Act. The court's decision suggests a significant resistance to the SEC’s regulatory expansion under Chair Gensler, and as the agency hastens updates amid leadership changes, further modifications to its regulatory framework may be expected.</w:t>
      </w:r>
      <w:r/>
    </w:p>
    <w:p>
      <w:r/>
      <w:r>
        <w:t>On the same day, the Consumer Financial Protection Bureau (CFPB) implemented new rules regarding digital wallet and payment app supervision. While the original proposals faced criticism for potentially encroaching on self-custody digital asset wallets, the final rule only applies to transactions in U.S. dollars, a decision welcomed by industry advocates including Coinbase and the Blockchain Association. This move alleviates concerns regarding the broader implications of regulatory oversight on non-dollar transactions in the burgeoning marketplace for digital currencies.</w:t>
      </w:r>
      <w:r/>
    </w:p>
    <w:p>
      <w:r/>
      <w:r>
        <w:t>Additionally, on November 26, 2024, the Fifth Circuit Court overturned sanctions imposed by the Office of Foreign Assets Control (OFAC) against the Tornado Cash protocol, a popular open-source digital asset software. The court's ruling clarified that immutable smart contracts could not be sanctioned under the International Emergency Economic Powers Act, a significant precedent that distinguishes the software's inherent properties from the malicious actions of users who misuse them.</w:t>
      </w:r>
      <w:r/>
    </w:p>
    <w:p>
      <w:r/>
      <w:r>
        <w:t>As these legal challenges unfold, the transition within the SEC offers a potential shift in regulatory attitudes toward digital assets. With Gensler announcing his resignation effective January 20, 2025, the incoming leadership may alter the trajectory of regulatory enforcement as it relates to cryptocurrencies.</w:t>
      </w:r>
      <w:r/>
    </w:p>
    <w:p>
      <w:r/>
      <w:r>
        <w:t>These recent developments underscore an evolving landscape full of legal complexity and uncertainty within the digital asset market. As courts settle disputes and agencies reassess regulations, the interplay of innovation and compliance will shape the future of blockchain technology and digital finance. Stakeholders in the industry will need to remain vigilant in monitoring these changes, as the outcomes of ongoing legal matters are likely to resonate across business practices in the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https://www.deseret.com/utah/2024/11/19/states-sue-sec-over-cryptocurrency-regulation/</w:t>
        </w:r>
      </w:hyperlink>
      <w:r>
        <w:t xml:space="preserve"> - Corroborates the lawsuit by 18 states against the SEC, alleging unconstitutional overreach and unjust treatment of the digital asset industry.</w:t>
      </w:r>
      <w:r/>
    </w:p>
    <w:p>
      <w:pPr>
        <w:pStyle w:val="ListNumber"/>
        <w:spacing w:line="240" w:lineRule="auto"/>
        <w:ind w:left="720"/>
      </w:pPr>
      <w:r/>
      <w:hyperlink r:id="rId11">
        <w:r>
          <w:rPr>
            <w:color w:val="0000EE"/>
            <w:u w:val="single"/>
          </w:rPr>
          <w:t>https://natlawreview.com/article/blockchain-bi-weekly-highlights-last-two-weeks-web3-law-december-5-2024</w:t>
        </w:r>
      </w:hyperlink>
      <w:r>
        <w:t xml:space="preserve"> - Supports the details of the lawsuit filed by 18 states against the SEC, including the states involved and the allegations of overreach.</w:t>
      </w:r>
      <w:r/>
    </w:p>
    <w:p>
      <w:pPr>
        <w:pStyle w:val="ListNumber"/>
        <w:spacing w:line="240" w:lineRule="auto"/>
        <w:ind w:left="720"/>
      </w:pPr>
      <w:r/>
      <w:hyperlink r:id="rId10">
        <w:r>
          <w:rPr>
            <w:color w:val="0000EE"/>
            <w:u w:val="single"/>
          </w:rPr>
          <w:t>https://www.deseret.com/utah/2024/11/19/states-sue-sec-over-cryptocurrency-regulation/</w:t>
        </w:r>
      </w:hyperlink>
      <w:r>
        <w:t xml:space="preserve"> - Provides details on the states' argument that the SEC lacks the authority to regulate digital assets and that this power should rest with the states.</w:t>
      </w:r>
      <w:r/>
    </w:p>
    <w:p>
      <w:pPr>
        <w:pStyle w:val="ListNumber"/>
        <w:spacing w:line="240" w:lineRule="auto"/>
        <w:ind w:left="720"/>
      </w:pPr>
      <w:r/>
      <w:hyperlink r:id="rId11">
        <w:r>
          <w:rPr>
            <w:color w:val="0000EE"/>
            <w:u w:val="single"/>
          </w:rPr>
          <w:t>https://natlawreview.com/article/blockchain-bi-weekly-highlights-last-two-weeks-web3-law-december-5-2024</w:t>
        </w:r>
      </w:hyperlink>
      <w:r>
        <w:t xml:space="preserve"> - Mentions the lawsuit and its implications on the digital asset industry, including the challenge to the SEC's regulatory authority.</w:t>
      </w:r>
      <w:r/>
    </w:p>
    <w:p>
      <w:pPr>
        <w:pStyle w:val="ListNumber"/>
        <w:spacing w:line="240" w:lineRule="auto"/>
        <w:ind w:left="720"/>
      </w:pPr>
      <w:r/>
      <w:hyperlink r:id="rId12">
        <w:r>
          <w:rPr>
            <w:color w:val="0000EE"/>
            <w:u w:val="single"/>
          </w:rPr>
          <w:t>https://www.dlapiper.com/en/es-pr/insights/publications/2023/03/secs-proposed-expansion-of-investment-advisers-act</w:t>
        </w:r>
      </w:hyperlink>
      <w:r>
        <w:t xml:space="preserve"> - Discusses the SEC's proposed rule changes, including those related to digital assets, which are relevant to the broader regulatory context.</w:t>
      </w:r>
      <w:r/>
    </w:p>
    <w:p>
      <w:pPr>
        <w:pStyle w:val="ListNumber"/>
        <w:spacing w:line="240" w:lineRule="auto"/>
        <w:ind w:left="720"/>
      </w:pPr>
      <w:r/>
      <w:hyperlink r:id="rId13">
        <w:r>
          <w:rPr>
            <w:color w:val="0000EE"/>
            <w:u w:val="single"/>
          </w:rPr>
          <w:t>https://digitalchamber.org/opinion-chair-genslers-unlawful-expansion-of-the-custody-rule-through-enforcement/</w:t>
        </w:r>
      </w:hyperlink>
      <w:r>
        <w:t xml:space="preserve"> - Details the proposed 'Safeguarding Rule' by the SEC and its potential impact on the digital asset industry, reflecting ongoing regulatory tensions.</w:t>
      </w:r>
      <w:r/>
    </w:p>
    <w:p>
      <w:pPr>
        <w:pStyle w:val="ListNumber"/>
        <w:spacing w:line="240" w:lineRule="auto"/>
        <w:ind w:left="720"/>
      </w:pPr>
      <w:r/>
      <w:hyperlink r:id="rId11">
        <w:r>
          <w:rPr>
            <w:color w:val="0000EE"/>
            <w:u w:val="single"/>
          </w:rPr>
          <w:t>https://natlawreview.com/article/blockchain-bi-weekly-highlights-last-two-weeks-web3-law-december-5-2024</w:t>
        </w:r>
      </w:hyperlink>
      <w:r>
        <w:t xml:space="preserve"> - Mentions the court ruling on the SEC's 'Dealer Rule' and its implications for the SEC’s regulatory expansion.</w:t>
      </w:r>
      <w:r/>
    </w:p>
    <w:p>
      <w:pPr>
        <w:pStyle w:val="ListNumber"/>
        <w:spacing w:line="240" w:lineRule="auto"/>
        <w:ind w:left="720"/>
      </w:pPr>
      <w:r/>
      <w:hyperlink r:id="rId9">
        <w:r>
          <w:rPr>
            <w:color w:val="0000EE"/>
            <w:u w:val="single"/>
          </w:rPr>
          <w:t>https://www.noahwire.com</w:t>
        </w:r>
      </w:hyperlink>
      <w:r>
        <w:t xml:space="preserve"> - While not directly linked, this is the source mentioned in the query, indicating the original article's context and source of information.</w:t>
      </w:r>
      <w:r/>
    </w:p>
    <w:p>
      <w:pPr>
        <w:pStyle w:val="ListNumber"/>
        <w:spacing w:line="240" w:lineRule="auto"/>
        <w:ind w:left="720"/>
      </w:pPr>
      <w:r/>
      <w:hyperlink r:id="rId14">
        <w:r>
          <w:rPr>
            <w:color w:val="0000EE"/>
            <w:u w:val="single"/>
          </w:rPr>
          <w:t>https://mahanakornpartners.com/overview-of-the-new-sec-rules-on-using-digital-assets-as-a-means-of-payment-and-sandbox-program-guidelines/</w:t>
        </w:r>
      </w:hyperlink>
      <w:r>
        <w:t xml:space="preserve"> - Provides context on regulatory updates in other jurisdictions, such as Thailand, highlighting global efforts to regulate digital assets.</w:t>
      </w:r>
      <w:r/>
    </w:p>
    <w:p>
      <w:pPr>
        <w:pStyle w:val="ListNumber"/>
        <w:spacing w:line="240" w:lineRule="auto"/>
        <w:ind w:left="720"/>
      </w:pPr>
      <w:r/>
      <w:hyperlink r:id="rId11">
        <w:r>
          <w:rPr>
            <w:color w:val="0000EE"/>
            <w:u w:val="single"/>
          </w:rPr>
          <w:t>https://natlawreview.com/article/blockchain-bi-weekly-highlights-last-two-weeks-web3-law-december-5-2024</w:t>
        </w:r>
      </w:hyperlink>
      <w:r>
        <w:t xml:space="preserve"> - Corroborates the Fifth Circuit Court's ruling on OFAC sanctions against the Tornado Cash protocol and its significance.</w:t>
      </w:r>
      <w:r/>
    </w:p>
    <w:p>
      <w:pPr>
        <w:pStyle w:val="ListNumber"/>
        <w:spacing w:line="240" w:lineRule="auto"/>
        <w:ind w:left="720"/>
      </w:pPr>
      <w:r/>
      <w:hyperlink r:id="rId13">
        <w:r>
          <w:rPr>
            <w:color w:val="0000EE"/>
            <w:u w:val="single"/>
          </w:rPr>
          <w:t>https://digitalchamber.org/opinion-chair-genslers-unlawful-expansion-of-the-custody-rule-through-enforcement/</w:t>
        </w:r>
      </w:hyperlink>
      <w:r>
        <w:t xml:space="preserve"> - Supports the discussion on the transition within the SEC and potential shifts in regulatory attitudes toward digital assets with Gensler's resignation.</w:t>
      </w:r>
      <w:r/>
    </w:p>
    <w:p>
      <w:pPr>
        <w:pStyle w:val="ListNumber"/>
        <w:spacing w:line="240" w:lineRule="auto"/>
        <w:ind w:left="720"/>
      </w:pPr>
      <w:r/>
      <w:hyperlink r:id="rId15">
        <w:r>
          <w:rPr>
            <w:color w:val="0000EE"/>
            <w:u w:val="single"/>
          </w:rPr>
          <w:t>https://www.jdsupra.com/legalnews/blockchain-bi-weekly-highlights-of-the-9170136/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eret.com/utah/2024/11/19/states-sue-sec-over-cryptocurrency-regulation/" TargetMode="External"/><Relationship Id="rId11" Type="http://schemas.openxmlformats.org/officeDocument/2006/relationships/hyperlink" Target="https://natlawreview.com/article/blockchain-bi-weekly-highlights-last-two-weeks-web3-law-december-5-2024" TargetMode="External"/><Relationship Id="rId12" Type="http://schemas.openxmlformats.org/officeDocument/2006/relationships/hyperlink" Target="https://www.dlapiper.com/en/es-pr/insights/publications/2023/03/secs-proposed-expansion-of-investment-advisers-act" TargetMode="External"/><Relationship Id="rId13" Type="http://schemas.openxmlformats.org/officeDocument/2006/relationships/hyperlink" Target="https://digitalchamber.org/opinion-chair-genslers-unlawful-expansion-of-the-custody-rule-through-enforcement/" TargetMode="External"/><Relationship Id="rId14" Type="http://schemas.openxmlformats.org/officeDocument/2006/relationships/hyperlink" Target="https://mahanakornpartners.com/overview-of-the-new-sec-rules-on-using-digital-assets-as-a-means-of-payment-and-sandbox-program-guidelines/" TargetMode="External"/><Relationship Id="rId15" Type="http://schemas.openxmlformats.org/officeDocument/2006/relationships/hyperlink" Target="https://www.jdsupra.com/legalnews/blockchain-bi-weekly-highlights-of-the-91701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