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Advisory firms face transformation amid changing client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advisory landscape is experiencing significant shifts, compelling professionals in the sector to reconsider their traditional operational models. Creative Planning, a leading firm in the industry, has achieved a remarkable valuation of $16 billion, yet conventional business practices are increasingly challenged by changing client needs and market conditions, as highlighted by Financial Advisor Magazine.</w:t>
      </w:r>
      <w:r/>
    </w:p>
    <w:p>
      <w:r/>
      <w:r>
        <w:t>Recent research conducted by CEG Insights and J.D. Power indicates that the current client retention rates often stem from favourable bull market conditions and client inertia, rather than authentic loyalty. This situation poses a risk for advisory firms, particularly as a substantial generational wealth transfer approaches. In fact, 41% of advisors perceive the impending inheritance-related asset shifts as an existential threat to their businesses.</w:t>
      </w:r>
      <w:r/>
    </w:p>
    <w:p>
      <w:r/>
      <w:r>
        <w:t>In response to these changes, proactive advisors are urged to target younger, high-earning clientele—particularly those in their 30s—who demand a different array of services from their financial advisors. These emerging affluent clients require assistance with complex issues such as negotiation of compensation, stock options, effective debt management, and business development strategies. Establishing connections with this demographic, although it may yield lower profits initially, presents substantial opportunities for recurring revenue growth over time.</w:t>
      </w:r>
      <w:r/>
    </w:p>
    <w:p>
      <w:r/>
      <w:r>
        <w:t>The market is gravitating towards specialised service models, explicitly aligned with clients' financial statuses and distinct needs. For instance, ultra-affluent clients, defined as those possessing over $25 million, are increasingly seeking comprehensive family office services. Conversely, clients within the “merely affluent” category, ranging from $5 million to $25 million, prefer more flexible, à la carte service options. To remain competitive, advisory firms need to delineate their areas of focus, whether that involves developing 401(k) platforms integrating wealth management services, catering to specific professional groups, or providing services to the broader middle-class market.</w:t>
      </w:r>
      <w:r/>
    </w:p>
    <w:p>
      <w:r/>
      <w:r>
        <w:t>Healthcare planning has emerged as a vital component of financial advising, with 68% of ultra-high-net-worth investors recognising it as a primary concern. As such, forming strategic partnerships with healthcare professionals is becoming essential for advisors who aim to deliver concierge medicine services. Furthermore, entrepreneurial clients require guidance that extends beyond wealth management; they are looking for expertise in startup management, business valuation, and succession planning.</w:t>
      </w:r>
      <w:r/>
    </w:p>
    <w:p>
      <w:r/>
      <w:r>
        <w:t>The evolving advice landscape emphasises a pivotal message: the traditional approach of attempting to serve all clients might soon become obsolete. Instead, success in 2035 and beyond will hinge on the ability to specialise, cultivate deep expertise, and deliver exceptional value within chosen niches. Hence, advisors are encouraged to initiate this transformative process promptly, ensuring their relevance and competitiveness in a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https://www.benzinga.com/personal-finance/financial-advisors/24/12/42380418/set-your-advisory-business-up-for-success-in-2025</w:t>
        </w:r>
      </w:hyperlink>
      <w:r>
        <w:t xml:space="preserve"> - Corroborates the valuation of Creative Planning, the challenges to traditional business models, and the need for advisors to adapt to changing client needs and market conditions.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Supports the research by CEG Insights and J.D. Power regarding client retention rates and the impact of bull market conditions and client inertia.</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Highlights the risk posed by the impending generational wealth transfer and the perception of it as an existential threat by 41% of advisors.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Explains the need for advisors to target younger, high-earning clients and the services these clients require, such as compensation negotiation and debt management.</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Describes the shift towards specialized service models based on clients' financial statuses and needs, including comprehensive family office services and à la carte options.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Emphasizes the importance of healthcare planning and forming strategic partnerships with healthcare professionals to deliver concierge medicine services.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Discusses the need for advisors to provide expertise beyond wealth management, including startup management, business valuation, and succession planning for entrepreneurial clients.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Highlights the necessity for advisors to specialize and deliver exceptional value within chosen niches to remain competitive in the future.</w:t>
      </w:r>
      <w:r/>
    </w:p>
    <w:p>
      <w:pPr>
        <w:pStyle w:val="ListNumber"/>
        <w:spacing w:line="240" w:lineRule="auto"/>
        <w:ind w:left="720"/>
      </w:pPr>
      <w:r/>
      <w:hyperlink r:id="rId11">
        <w:r>
          <w:rPr>
            <w:color w:val="0000EE"/>
            <w:u w:val="single"/>
          </w:rPr>
          <w:t>https://www.marketscreener.com/quote/stock/THE-GOLDMAN-SACHS-GROUP-I-12831/news/Exclusive-TPG-in-lead-to-buy-stake-in-Creative-Planning-at-15-billion-valuation-sources-say-47959389/</w:t>
        </w:r>
      </w:hyperlink>
      <w:r>
        <w:t xml:space="preserve"> - Corroborates the valuation of Creative Planning at $15 billion and the involvement of TPG in the firm.</w:t>
      </w:r>
      <w:r/>
    </w:p>
    <w:p>
      <w:pPr>
        <w:pStyle w:val="ListNumber"/>
        <w:spacing w:line="240" w:lineRule="auto"/>
        <w:ind w:left="720"/>
      </w:pPr>
      <w:r/>
      <w:hyperlink r:id="rId12">
        <w:r>
          <w:rPr>
            <w:color w:val="0000EE"/>
            <w:u w:val="single"/>
          </w:rPr>
          <w:t>https://www.wealthmanagement.com/industry/creative-planning-acquires-fellow-kansas-firm-550m-aum</w:t>
        </w:r>
      </w:hyperlink>
      <w:r>
        <w:t xml:space="preserve"> - Provides additional context on Creative Planning's recent activities and its growth through acquisitions, aligning with its significant valuation.</w:t>
      </w:r>
      <w:r/>
    </w:p>
    <w:p>
      <w:pPr>
        <w:pStyle w:val="ListNumber"/>
        <w:spacing w:line="240" w:lineRule="auto"/>
        <w:ind w:left="720"/>
      </w:pPr>
      <w:r/>
      <w:hyperlink r:id="rId12">
        <w:r>
          <w:rPr>
            <w:color w:val="0000EE"/>
            <w:u w:val="single"/>
          </w:rPr>
          <w:t>https://www.wealthmanagement.com/industry/creative-planning-acquires-fellow-kansas-firm-550m-aum</w:t>
        </w:r>
      </w:hyperlink>
      <w:r>
        <w:t xml:space="preserve"> - Supports the strategic expansion and service offerings of Creative Planning, including its integration of various financial services.</w:t>
      </w:r>
      <w:r/>
    </w:p>
    <w:p>
      <w:pPr>
        <w:pStyle w:val="ListNumber"/>
        <w:spacing w:line="240" w:lineRule="auto"/>
        <w:ind w:left="720"/>
      </w:pPr>
      <w:r/>
      <w:hyperlink r:id="rId10">
        <w:r>
          <w:rPr>
            <w:color w:val="0000EE"/>
            <w:u w:val="single"/>
          </w:rPr>
          <w:t>https://www.benzinga.com/personal-finance/financial-advisors/24/12/42380418/set-your-advisory-business-up-for-success-in-2025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personal-finance/financial-advisors/24/12/42380418/set-your-advisory-business-up-for-success-in-2025" TargetMode="External"/><Relationship Id="rId11" Type="http://schemas.openxmlformats.org/officeDocument/2006/relationships/hyperlink" Target="https://www.marketscreener.com/quote/stock/THE-GOLDMAN-SACHS-GROUP-I-12831/news/Exclusive-TPG-in-lead-to-buy-stake-in-Creative-Planning-at-15-billion-valuation-sources-say-47959389/" TargetMode="External"/><Relationship Id="rId12" Type="http://schemas.openxmlformats.org/officeDocument/2006/relationships/hyperlink" Target="https://www.wealthmanagement.com/industry/creative-planning-acquires-fellow-kansas-firm-550m-au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