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investment surge highlights infrastructure imbalance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Investment in artificial intelligence (AI) has surged in recent years, with venture capitalists (VCs) directing billions into the sector. According to Atomico’s State of European Tech Report, European investors are expected to invest over $11 billion in AI companies by the end of 2024, while their counterparts in the United States are forecasted to allocate approximately $47 billion. These figures illustrate a robust and expanding AI market, driven by a fervent climate of investment.</w:t>
      </w:r>
      <w:r/>
    </w:p>
    <w:p>
      <w:r/>
      <w:r>
        <w:t xml:space="preserve">However, a significant portion of this funding appears to have been concentrated on the development of AI technology rather than its actual deployment at scale. This phenomenon, often attributed to the fear of missing out among investors, has resulted in a notable imbalance between the substantial financial resources allocated and the actual consumer demand for AI solutions. As pointed out in the analysis by Mike Smeed, managing director at Inmotion Ventures, investors have largely overlooked the critical hardware and compute infrastructure necessary to sustain the ongoing advancement of AI technologies. </w:t>
      </w:r>
      <w:r/>
    </w:p>
    <w:p>
      <w:r/>
      <w:r>
        <w:t>Jensen Huang, CEO of Nvidia, has labelled AI as ‘the next industrial revolution,’ highlighting the immense power and digital resources required to further propel the sector. The increasing use of AI is not without consequences, creating an escalating demand for essential resources such as water and electricity. While billions have been poured into AI’s physical infrastructure, this allocation remains disproportionately low compared to the overall investment in the technology, suggesting a reactive rather than proactive approach to building the necessary foundational support for AI growth.</w:t>
      </w:r>
      <w:r/>
    </w:p>
    <w:p>
      <w:r/>
      <w:r>
        <w:t>With the current trajectory, concerns have emerged regarding the potential for reaching an ‘AI ceiling’ if there is not a strategic redistribution of capital towards enhancing physical infrastructure. Smeed notes a growing recognition of this need among VCs, indicating the early stages of a market correction in funding strategies. Investors are beginning to pivot their focus from the saturated middleware segment towards crucial opportunities above and below the stack.</w:t>
      </w:r>
      <w:r/>
    </w:p>
    <w:p>
      <w:r/>
      <w:r>
        <w:t>The urgent requirement for expanded data centres has opened various new investment avenues, particularly for early-stage companies addressing the considerable environmental challenges linked to AI’s rapid expansion. Noteworthy collaborations, such as the partnership between Blackrock and Microsoft, exemplify this shift as they aim to invest in data centres and power infrastructure—marking one of the largest investment vehicles raised on Wall Street for this purpose.</w:t>
      </w:r>
      <w:r/>
    </w:p>
    <w:p>
      <w:r/>
      <w:r>
        <w:t>Despite this refocusing, opportunities within the application layer of AI continue to attract investment interest. Nevertheless, there is a discernible shift in what VCs prioritise, moving towards long-term sustainability and defensibility over merely pursuing immediate financial returns. The next decade of AI innovation will hinge on establishing a solid physical infrastructure, making it essential for an investment strategy to centre on both longevity and robust returns to protect the vast sums already invested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https://www.digitalocean.com/resources/articles/artificial-intelligence-statistics</w:t>
        </w:r>
      </w:hyperlink>
      <w:r>
        <w:t xml:space="preserve"> - Corroborates the surge in AI funding, including the significant increase in investments in generative AI and the overall growth in AI-focused startup funding.</w:t>
      </w:r>
      <w:r/>
    </w:p>
    <w:p>
      <w:pPr>
        <w:pStyle w:val="ListNumber"/>
        <w:spacing w:line="240" w:lineRule="auto"/>
        <w:ind w:left="720"/>
      </w:pPr>
      <w:r/>
      <w:hyperlink r:id="rId11">
        <w:r>
          <w:rPr>
            <w:color w:val="0000EE"/>
            <w:u w:val="single"/>
          </w:rPr>
          <w:t>https://techtour.com/news/2024/ai-landscape-in-europe-2024.html</w:t>
        </w:r>
      </w:hyperlink>
      <w:r>
        <w:t xml:space="preserve"> - Supports the high levels of AI funding in Europe, the dominance of the UK, France, and Germany in AI investment, and the growing influence of AI technologies across various sectors.</w:t>
      </w:r>
      <w:r/>
    </w:p>
    <w:p>
      <w:pPr>
        <w:pStyle w:val="ListNumber"/>
        <w:spacing w:line="240" w:lineRule="auto"/>
        <w:ind w:left="720"/>
      </w:pPr>
      <w:r/>
      <w:hyperlink r:id="rId12">
        <w:r>
          <w:rPr>
            <w:color w:val="0000EE"/>
            <w:u w:val="single"/>
          </w:rPr>
          <w:t>https://www.statista.com/chart/33346/ai-share-of-vc-investments-in-the-us/</w:t>
        </w:r>
      </w:hyperlink>
      <w:r>
        <w:t xml:space="preserve"> - Provides data on the increasing share of VC funding dedicated to AI in the U.S., highlighting the trend of AI investments accounting for a significant portion of total VC investments.</w:t>
      </w:r>
      <w:r/>
    </w:p>
    <w:p>
      <w:pPr>
        <w:pStyle w:val="ListNumber"/>
        <w:spacing w:line="240" w:lineRule="auto"/>
        <w:ind w:left="720"/>
      </w:pPr>
      <w:r/>
      <w:hyperlink r:id="rId13">
        <w:r>
          <w:rPr>
            <w:color w:val="0000EE"/>
            <w:u w:val="single"/>
          </w:rPr>
          <w:t>https://www.europarl.europa.eu/RegData/etudes/ATAG/2024/760392/EPRS_ATA(2024)760392_EN.pdf</w:t>
        </w:r>
      </w:hyperlink>
      <w:r>
        <w:t xml:space="preserve"> - Details the global AI market valuation, the leadership of the U.S. in private AI investment, and the growing public investment in AI, particularly in the EU.</w:t>
      </w:r>
      <w:r/>
    </w:p>
    <w:p>
      <w:pPr>
        <w:pStyle w:val="ListNumber"/>
        <w:spacing w:line="240" w:lineRule="auto"/>
        <w:ind w:left="720"/>
      </w:pPr>
      <w:r/>
      <w:hyperlink r:id="rId11">
        <w:r>
          <w:rPr>
            <w:color w:val="0000EE"/>
            <w:u w:val="single"/>
          </w:rPr>
          <w:t>https://techtour.com/news/2024/ai-landscape-in-europe-2024.html</w:t>
        </w:r>
      </w:hyperlink>
      <w:r>
        <w:t xml:space="preserve"> - Highlights the concentration of AI funding in Europe and the need for strategic investments to support AI growth, including the development of physical infrastructure.</w:t>
      </w:r>
      <w:r/>
    </w:p>
    <w:p>
      <w:pPr>
        <w:pStyle w:val="ListNumber"/>
        <w:spacing w:line="240" w:lineRule="auto"/>
        <w:ind w:left="720"/>
      </w:pPr>
      <w:r/>
      <w:hyperlink r:id="rId10">
        <w:r>
          <w:rPr>
            <w:color w:val="0000EE"/>
            <w:u w:val="single"/>
          </w:rPr>
          <w:t>https://www.digitalocean.com/resources/articles/artificial-intelligence-statistics</w:t>
        </w:r>
      </w:hyperlink>
      <w:r>
        <w:t xml:space="preserve"> - Mentions the significant investment in AI companies and the focus on generative AI, which aligns with the notion of substantial financial resources allocated to AI technology development.</w:t>
      </w:r>
      <w:r/>
    </w:p>
    <w:p>
      <w:pPr>
        <w:pStyle w:val="ListNumber"/>
        <w:spacing w:line="240" w:lineRule="auto"/>
        <w:ind w:left="720"/>
      </w:pPr>
      <w:r/>
      <w:hyperlink r:id="rId12">
        <w:r>
          <w:rPr>
            <w:color w:val="0000EE"/>
            <w:u w:val="single"/>
          </w:rPr>
          <w:t>https://www.statista.com/chart/33346/ai-share-of-vc-investments-in-the-us/</w:t>
        </w:r>
      </w:hyperlink>
      <w:r>
        <w:t xml:space="preserve"> - Indicates the growing share of AI investments in the U.S., reflecting the robust and expanding AI market driven by venture capital.</w:t>
      </w:r>
      <w:r/>
    </w:p>
    <w:p>
      <w:pPr>
        <w:pStyle w:val="ListNumber"/>
        <w:spacing w:line="240" w:lineRule="auto"/>
        <w:ind w:left="720"/>
      </w:pPr>
      <w:r/>
      <w:hyperlink r:id="rId13">
        <w:r>
          <w:rPr>
            <w:color w:val="0000EE"/>
            <w:u w:val="single"/>
          </w:rPr>
          <w:t>https://www.europarl.europa.eu/RegData/etudes/ATAG/2024/760392/EPRS_ATA(2024)760392_EN.pdf</w:t>
        </w:r>
      </w:hyperlink>
      <w:r>
        <w:t xml:space="preserve"> - Discusses the global AI market and the need for balanced investment strategies, including the development of necessary physical infrastructure to support AI growth.</w:t>
      </w:r>
      <w:r/>
    </w:p>
    <w:p>
      <w:pPr>
        <w:pStyle w:val="ListNumber"/>
        <w:spacing w:line="240" w:lineRule="auto"/>
        <w:ind w:left="720"/>
      </w:pPr>
      <w:r/>
      <w:hyperlink r:id="rId11">
        <w:r>
          <w:rPr>
            <w:color w:val="0000EE"/>
            <w:u w:val="single"/>
          </w:rPr>
          <w:t>https://techtour.com/news/2024/ai-landscape-in-europe-2024.html</w:t>
        </w:r>
      </w:hyperlink>
      <w:r>
        <w:t xml:space="preserve"> - Highlights the environmental challenges linked to AI's rapid expansion and the emerging investment avenues in data centers and power infrastructure.</w:t>
      </w:r>
      <w:r/>
    </w:p>
    <w:p>
      <w:pPr>
        <w:pStyle w:val="ListNumber"/>
        <w:spacing w:line="240" w:lineRule="auto"/>
        <w:ind w:left="720"/>
      </w:pPr>
      <w:r/>
      <w:hyperlink r:id="rId12">
        <w:r>
          <w:rPr>
            <w:color w:val="0000EE"/>
            <w:u w:val="single"/>
          </w:rPr>
          <w:t>https://www.statista.com/chart/33346/ai-share-of-vc-investments-in-the-us/</w:t>
        </w:r>
      </w:hyperlink>
      <w:r>
        <w:t xml:space="preserve"> - Supports the shift in VC priorities towards long-term sustainability and defensibility, as indicated by the increasing focus on foundational support for AI growth.</w:t>
      </w:r>
      <w:r/>
    </w:p>
    <w:p>
      <w:pPr>
        <w:pStyle w:val="ListNumber"/>
        <w:spacing w:line="240" w:lineRule="auto"/>
        <w:ind w:left="720"/>
      </w:pPr>
      <w:r/>
      <w:hyperlink r:id="rId14">
        <w:r>
          <w:rPr>
            <w:color w:val="0000EE"/>
            <w:u w:val="single"/>
          </w:rPr>
          <w:t>https://www.cityam.com/ai-investor-fomo-has-ai-supply-outstripped-demand/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ocean.com/resources/articles/artificial-intelligence-statistics" TargetMode="External"/><Relationship Id="rId11" Type="http://schemas.openxmlformats.org/officeDocument/2006/relationships/hyperlink" Target="https://techtour.com/news/2024/ai-landscape-in-europe-2024.html" TargetMode="External"/><Relationship Id="rId12" Type="http://schemas.openxmlformats.org/officeDocument/2006/relationships/hyperlink" Target="https://www.statista.com/chart/33346/ai-share-of-vc-investments-in-the-us/" TargetMode="External"/><Relationship Id="rId13" Type="http://schemas.openxmlformats.org/officeDocument/2006/relationships/hyperlink" Target="https://www.europarl.europa.eu/RegData/etudes/ATAG/2024/760392/EPRS_ATA(2024)760392_EN.pdf" TargetMode="External"/><Relationship Id="rId14" Type="http://schemas.openxmlformats.org/officeDocument/2006/relationships/hyperlink" Target="https://www.cityam.com/ai-investor-fomo-has-ai-supply-outstripped-dem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