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trends shaping the future of cryptocurrency and minerals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highlighted by Skillings Mining Review, the financial landscape continues to evolve, marked by significant trends in cryptocurrency, global mineral policies, commodity prices, and energy solutions for technology companies.</w:t>
      </w:r>
      <w:r/>
    </w:p>
    <w:p>
      <w:r/>
      <w:r>
        <w:t>Bitcoin has recently achieved a remarkable milestone, surpassing the $100,000 mark before settling back into the $97,000 range. The ascent to $103,000 has sparked considerable excitement among investors, signalling that the cryptocurrency can reach new heights, with potential for further gains. Cryptocurrency expert Chris Curl has predicted continued growth in this space, indicating that altcoins may follow Bitcoin's ascent. His insights have led him to advise readers to position themselves strategically to capitalise on potential profits.</w:t>
      </w:r>
      <w:r/>
    </w:p>
    <w:p>
      <w:r/>
      <w:r>
        <w:t>In addition to developments in cryptocurrencies, China's recent decision to impose a ban on the export of specific rare minerals has substantial implications for industries reliant on these materials. This ban encompasses critical minerals, including antimony, which is essential for electronics and defense sectors. Following the announcement, one notable U.S. miner specialising in antimony witnessed an uptick in its stock price and is slated to receive vital government approval shortly. This regulatory backing could further drive the company's stock even higher as demand for these minerals intensifies.</w:t>
      </w:r>
      <w:r/>
    </w:p>
    <w:p>
      <w:r/>
      <w:r>
        <w:t>The copper market has also made headlines, experiencing a recent dip in prices that contrasts with the overall positive trend observed in other commodities. Analysts speculate that this pullback is likely temporary, driven by persistent demand for copper, which remains a crucial component across various sectors. An intriguing development involves the discovery of a new mineral belt in Peru, believed to house one of the largest copper deposits globally. The ownership of this prospective site is currently underappreciated, suggesting a significant investment opportunity as awareness of its potential increases.</w:t>
      </w:r>
      <w:r/>
    </w:p>
    <w:p>
      <w:r/>
      <w:r>
        <w:t>In a strategic move aligning with the needs of modern technology enterprises, Meta, the parent company of Facebook, has taken steps to secure a sustainable energy source for its artificial intelligence (AI) initiatives. The firm has begun soliciting proposals from nuclear power developers to create the necessary infrastructure to support its ambitious AI projects. This initiative underscores a broader trend towards nuclear energy, signalling a sustained demand for uranium, which is crucial for nuclear power generation. One specific uranium mining company stands to benefit from this enduring demand, as the sector anticipates significant growth in conjunction with expanding AI applications.</w:t>
      </w:r>
      <w:r/>
    </w:p>
    <w:p>
      <w:r/>
      <w:r>
        <w:t>Overall, these developments reflect a dynamic interplay of technology, resource management, and investment opportunities in today's market, with key players navigating the impacts of globalization, policy changes, and technological advancements. The evolving trends in cryptocurrency, mineral exports, commodity prices, and energy sourcing signify a period of transformation and potential growth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https://www.whitecase.com/insight-our-thinking/mining-metals-2024-geopolitics-drivers-seat</w:t>
        </w:r>
      </w:hyperlink>
      <w:r>
        <w:t xml:space="preserve"> - Corroborates the impact of geopolitics on mineral policies and commodity prices, including the squeeze on metal supplies and the reconfiguration of mining and metals supply chains.</w:t>
      </w:r>
      <w:r/>
    </w:p>
    <w:p>
      <w:pPr>
        <w:pStyle w:val="ListNumber"/>
        <w:spacing w:line="240" w:lineRule="auto"/>
        <w:ind w:left="720"/>
      </w:pPr>
      <w:r/>
      <w:hyperlink r:id="rId11">
        <w:r>
          <w:rPr>
            <w:color w:val="0000EE"/>
            <w:u w:val="single"/>
          </w:rPr>
          <w:t>https://blogs.worldbank.org/en/developmenttalk/the-commodity-markets-outlook-in-eight-charts</w:t>
        </w:r>
      </w:hyperlink>
      <w:r>
        <w:t xml:space="preserve"> - Provides insights into commodity price trends, including the slight downturn in 2024 and 2025, and the stability of metal prices, which contrasts with the temporary dip in copper prices mentioned.</w:t>
      </w:r>
      <w:r/>
    </w:p>
    <w:p>
      <w:pPr>
        <w:pStyle w:val="ListNumber"/>
        <w:spacing w:line="240" w:lineRule="auto"/>
        <w:ind w:left="720"/>
      </w:pPr>
      <w:r/>
      <w:hyperlink r:id="rId12">
        <w:r>
          <w:rPr>
            <w:color w:val="0000EE"/>
            <w:u w:val="single"/>
          </w:rPr>
          <w:t>https://www.iea.org/reports/global-critical-minerals-outlook-2024</w:t>
        </w:r>
      </w:hyperlink>
      <w:r>
        <w:t xml:space="preserve"> - Supports the discussion on critical minerals, including their increasing demand, volatile price movements, and geopolitical concerns, which aligns with China's ban on the export of specific rare minerals.</w:t>
      </w:r>
      <w:r/>
    </w:p>
    <w:p>
      <w:pPr>
        <w:pStyle w:val="ListNumber"/>
        <w:spacing w:line="240" w:lineRule="auto"/>
        <w:ind w:left="720"/>
      </w:pPr>
      <w:r/>
      <w:hyperlink r:id="rId13">
        <w:r>
          <w:rPr>
            <w:color w:val="0000EE"/>
            <w:u w:val="single"/>
          </w:rPr>
          <w:t>https://energydigital.com/top10/top-10-tech-companies-in-energy</w:t>
        </w:r>
      </w:hyperlink>
      <w:r>
        <w:t xml:space="preserve"> - Highlights the role of technology companies in energy solutions, such as Oracle, Tesla, and Google, which aligns with the trend towards sustainable energy sources for AI initiatives.</w:t>
      </w:r>
      <w:r/>
    </w:p>
    <w:p>
      <w:pPr>
        <w:pStyle w:val="ListNumber"/>
        <w:spacing w:line="240" w:lineRule="auto"/>
        <w:ind w:left="720"/>
      </w:pPr>
      <w:r/>
      <w:hyperlink r:id="rId14">
        <w:r>
          <w:rPr>
            <w:color w:val="0000EE"/>
            <w:u w:val="single"/>
          </w:rPr>
          <w:t>https://www.techtarget.com/whatis/feature/10-ways-to-spot-disinformation-on-social-media</w:t>
        </w:r>
      </w:hyperlink>
      <w:r>
        <w:t xml:space="preserve"> - While not directly related to the content, it is important for verifying the credibility of sources discussing cryptocurrency, mineral policies, and energy solutions to avoid disinformation.</w:t>
      </w:r>
      <w:r/>
    </w:p>
    <w:p>
      <w:pPr>
        <w:pStyle w:val="ListNumber"/>
        <w:spacing w:line="240" w:lineRule="auto"/>
        <w:ind w:left="720"/>
      </w:pPr>
      <w:r/>
      <w:hyperlink r:id="rId9">
        <w:r>
          <w:rPr>
            <w:color w:val="0000EE"/>
            <w:u w:val="single"/>
          </w:rPr>
          <w:t>https://www.noahwire.com</w:t>
        </w:r>
      </w:hyperlink>
      <w:r>
        <w:t xml:space="preserve"> - The original source of the article, though it does not provide specific corroborating details, it is the base from which the other sources can be cross-referenced.</w:t>
      </w:r>
      <w:r/>
    </w:p>
    <w:p>
      <w:pPr>
        <w:pStyle w:val="ListNumber"/>
        <w:spacing w:line="240" w:lineRule="auto"/>
        <w:ind w:left="720"/>
      </w:pPr>
      <w:r/>
      <w:hyperlink r:id="rId10">
        <w:r>
          <w:rPr>
            <w:color w:val="0000EE"/>
            <w:u w:val="single"/>
          </w:rPr>
          <w:t>https://www.whitecase.com/insight-our-thinking/mining-metals-2024-geopolitics-drivers-seat</w:t>
        </w:r>
      </w:hyperlink>
      <w:r>
        <w:t xml:space="preserve"> - Further details on the impact of resource nationalism and industrial and critical minerals policies, which are relevant to China's decision to ban the export of specific rare minerals.</w:t>
      </w:r>
      <w:r/>
    </w:p>
    <w:p>
      <w:pPr>
        <w:pStyle w:val="ListNumber"/>
        <w:spacing w:line="240" w:lineRule="auto"/>
        <w:ind w:left="720"/>
      </w:pPr>
      <w:r/>
      <w:hyperlink r:id="rId11">
        <w:r>
          <w:rPr>
            <w:color w:val="0000EE"/>
            <w:u w:val="single"/>
          </w:rPr>
          <w:t>https://blogs.worldbank.org/en/developmenttalk/the-commodity-markets-outlook-in-eight-charts</w:t>
        </w:r>
      </w:hyperlink>
      <w:r>
        <w:t xml:space="preserve"> - Additional context on the overall commodity market outlook, including energy prices and agricultural prices, which are interconnected with mineral and metal prices.</w:t>
      </w:r>
      <w:r/>
    </w:p>
    <w:p>
      <w:pPr>
        <w:pStyle w:val="ListNumber"/>
        <w:spacing w:line="240" w:lineRule="auto"/>
        <w:ind w:left="720"/>
      </w:pPr>
      <w:r/>
      <w:hyperlink r:id="rId12">
        <w:r>
          <w:rPr>
            <w:color w:val="0000EE"/>
            <w:u w:val="single"/>
          </w:rPr>
          <w:t>https://www.iea.org/reports/global-critical-minerals-outlook-2024</w:t>
        </w:r>
      </w:hyperlink>
      <w:r>
        <w:t xml:space="preserve"> - Detailed analysis on the demand and supply of key energy transition minerals, such as copper, lithium, and nickel, which are crucial for various sectors including electronics and defense.</w:t>
      </w:r>
      <w:r/>
    </w:p>
    <w:p>
      <w:pPr>
        <w:pStyle w:val="ListNumber"/>
        <w:spacing w:line="240" w:lineRule="auto"/>
        <w:ind w:left="720"/>
      </w:pPr>
      <w:r/>
      <w:hyperlink r:id="rId13">
        <w:r>
          <w:rPr>
            <w:color w:val="0000EE"/>
            <w:u w:val="single"/>
          </w:rPr>
          <w:t>https://energydigital.com/top10/top-10-tech-companies-in-energy</w:t>
        </w:r>
      </w:hyperlink>
      <w:r>
        <w:t xml:space="preserve"> - Specific examples of tech companies like Tesla and Google that are involved in energy storage and sustainable energy solutions, aligning with the trend towards nuclear energy for AI initiatives.</w:t>
      </w:r>
      <w:r/>
    </w:p>
    <w:p>
      <w:pPr>
        <w:pStyle w:val="ListNumber"/>
        <w:spacing w:line="240" w:lineRule="auto"/>
        <w:ind w:left="720"/>
      </w:pPr>
      <w:r/>
      <w:hyperlink r:id="rId12">
        <w:r>
          <w:rPr>
            <w:color w:val="0000EE"/>
            <w:u w:val="single"/>
          </w:rPr>
          <w:t>https://www.iea.org/reports/global-critical-minerals-outlook-2024</w:t>
        </w:r>
      </w:hyperlink>
      <w:r>
        <w:t xml:space="preserve"> - The report's focus on the reliability, sustainability, and diversity of critical mineral supply chains, which is relevant to the strategic moves by companies like Meta in securing sustainable energy sources.</w:t>
      </w:r>
      <w:r/>
    </w:p>
    <w:p>
      <w:pPr>
        <w:pStyle w:val="ListNumber"/>
        <w:spacing w:line="240" w:lineRule="auto"/>
        <w:ind w:left="720"/>
      </w:pPr>
      <w:r/>
      <w:hyperlink r:id="rId15">
        <w:r>
          <w:rPr>
            <w:color w:val="0000EE"/>
            <w:u w:val="single"/>
          </w:rPr>
          <w:t>https://skillings.net/bitcoin-breaks-through-and-builds-new-wealth/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case.com/insight-our-thinking/mining-metals-2024-geopolitics-drivers-seat" TargetMode="External"/><Relationship Id="rId11" Type="http://schemas.openxmlformats.org/officeDocument/2006/relationships/hyperlink" Target="https://blogs.worldbank.org/en/developmenttalk/the-commodity-markets-outlook-in-eight-charts" TargetMode="External"/><Relationship Id="rId12" Type="http://schemas.openxmlformats.org/officeDocument/2006/relationships/hyperlink" Target="https://www.iea.org/reports/global-critical-minerals-outlook-2024" TargetMode="External"/><Relationship Id="rId13" Type="http://schemas.openxmlformats.org/officeDocument/2006/relationships/hyperlink" Target="https://energydigital.com/top10/top-10-tech-companies-in-energy" TargetMode="External"/><Relationship Id="rId14" Type="http://schemas.openxmlformats.org/officeDocument/2006/relationships/hyperlink" Target="https://www.techtarget.com/whatis/feature/10-ways-to-spot-disinformation-on-social-media" TargetMode="External"/><Relationship Id="rId15" Type="http://schemas.openxmlformats.org/officeDocument/2006/relationships/hyperlink" Target="https://skillings.net/bitcoin-breaks-through-and-builds-new-w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