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developments in ESG investing reshape corporate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has seen significant developments in the realm of environmental, social, and governance (ESG) investing, with a variety of initiatives, lawsuits, and new financial products being reported. Companies and governments alike are navigating the complexities of ESG commitments amid changing regulations and market expectations.</w:t>
      </w:r>
      <w:r/>
    </w:p>
    <w:p>
      <w:r/>
      <w:r>
        <w:t xml:space="preserve">One major legal action comes from Texas, where the state has initiated a multi-state lawsuit against financial giants BlackRock, Vanguard, and State Street. The suit accuses these firms of exploiting ESG investing practices to manipulate energy markets, raising eyebrows regarding the impact of such investment strategies on traditional industries. </w:t>
      </w:r>
      <w:r/>
    </w:p>
    <w:p>
      <w:r/>
      <w:r>
        <w:t xml:space="preserve">Amidst this, Meta, the parent company of Facebook, is reportedly looking to nuclear energy as a means to decarbonise its artificial intelligence development. This pivot indicates a strategic approach to fostering a more sustainable operational model for technology companies with high energy demands. </w:t>
      </w:r>
      <w:r/>
    </w:p>
    <w:p>
      <w:r/>
      <w:r>
        <w:t>Coca-Cola has made headlines for scaling back its sustainability objectives, particularly concerning sustainable packaging and agricultural practices. This retreat from ambitious goals may signal broader challenges for large corporations aiming to meet sustainability targets while balancing operational realities.</w:t>
      </w:r>
      <w:r/>
    </w:p>
    <w:p>
      <w:r/>
      <w:r>
        <w:t>Meanwhile, the European Union is reaffirming its commitment to sustainability by rejecting proposals to ease restrictions on products linked to deforestation. This decision aligns with the EU Commission’s allocation of €4.6 billion in funding to support cleantech projects, underlining an ongoing dedication to sustainability amidst market pressures.</w:t>
      </w:r>
      <w:r/>
    </w:p>
    <w:p>
      <w:r/>
      <w:r>
        <w:t>In terms of ESG reporting, a survey conducted by PwC reveals that only 42% of companies required to report under the new Corporate Sustainability Reporting Directive (CSRD) feel fully confident in their ability to meet these obligations. This lack of confidence highlights the potential challenges businesses face in aligning with evolving regulatory frameworks.</w:t>
      </w:r>
      <w:r/>
    </w:p>
    <w:p>
      <w:r/>
      <w:r>
        <w:t>On the investment front, a number of new funds and financial solutions have emerged. BNP Paribas has launched a €750 million low carbon transition infrastructure fund, while EQT is advancing its sustainability strategies with a new transition infrastructure initiative. Additionally, Mirova introduced a platform focused on impact investments in real assets, signalling a growing interest in tangible, sustainable projects.</w:t>
      </w:r>
      <w:r/>
    </w:p>
    <w:p>
      <w:r/>
      <w:r>
        <w:t xml:space="preserve">Morgan Stanley's research indicates that approximately 80% of investors plan to increase their commitments to sustainable investments over the next two years. This projection suggests a shifting landscape as financial markets increasingly embrace ESG-oriented strategies. </w:t>
      </w:r>
      <w:r/>
    </w:p>
    <w:p>
      <w:r/>
      <w:r>
        <w:t>In venture capital, significant capital inflows have been reported in sectors aimed at enhancing sustainability. Companies like Zitara, which develops battery technology software, and Elyse Energy, focusing on sustainable fuel projects, have secured millions in funding to accelerate their efforts. Direct air capture technology provider Heirloom has also raised $150 million to scale its carbon removal capabilities.</w:t>
      </w:r>
      <w:r/>
    </w:p>
    <w:p>
      <w:r/>
      <w:r>
        <w:t>As momentum builds in the ESG space, service providers are also responding to growing demand for data and reporting solutions. Recently launched solutions from Normative and Speeki aim to assist companies in navigating the increasingly complex landscape of sustainability reporting.</w:t>
      </w:r>
      <w:r/>
    </w:p>
    <w:p>
      <w:r/>
      <w:r>
        <w:t>The week's developments reflect a dynamic intersection of legal, regulatory, and market forces shaping the future of ESG investing and corporate sustainability practices. As the landscape continues to evolve, businesses and investors are likely to adapt their strategies in response to both challenges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https://texasattorneygeneral.gov/news/releases/attorney-general-ken-paxton-sues-blackrock-state-street-and-vanguard-illegally-conspiring-manipulate</w:t>
        </w:r>
      </w:hyperlink>
      <w:r>
        <w:t xml:space="preserve"> - Corroborates the lawsuit by Texas against BlackRock, State Street, and Vanguard for exploiting ESG investing practices to manipulate energy markets.</w:t>
      </w:r>
      <w:r/>
    </w:p>
    <w:p>
      <w:pPr>
        <w:pStyle w:val="ListNumber"/>
        <w:spacing w:line="240" w:lineRule="auto"/>
        <w:ind w:left="720"/>
      </w:pPr>
      <w:r/>
      <w:hyperlink r:id="rId11">
        <w:r>
          <w:rPr>
            <w:color w:val="0000EE"/>
            <w:u w:val="single"/>
          </w:rPr>
          <w:t>https://www.bankingdive.com/news/blackrock-state-street-vanguard-sued-texas-red-states-anticompetitive-coal-practices/734329/</w:t>
        </w:r>
      </w:hyperlink>
      <w:r>
        <w:t xml:space="preserve"> - Provides details on the lawsuit alleging anticompetitive practices by BlackRock, State Street, and Vanguard in the coal market.</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for the overall article content, including ESG initiatives and legal actions.</w:t>
      </w:r>
      <w:r/>
    </w:p>
    <w:p>
      <w:pPr>
        <w:pStyle w:val="ListNumber"/>
        <w:spacing w:line="240" w:lineRule="auto"/>
        <w:ind w:left="720"/>
      </w:pPr>
      <w:r/>
      <w:hyperlink r:id="rId12">
        <w:r>
          <w:rPr>
            <w:color w:val="0000EE"/>
            <w:u w:val="single"/>
          </w:rPr>
          <w:t>https://ec.europa.eu/info/publications/sustainable-growth_en</w:t>
        </w:r>
      </w:hyperlink>
      <w:r>
        <w:t xml:space="preserve"> - Supports the European Union's commitment to sustainability, including rejecting proposals to ease restrictions on products linked to deforestation.</w:t>
      </w:r>
      <w:r/>
    </w:p>
    <w:p>
      <w:pPr>
        <w:pStyle w:val="ListNumber"/>
        <w:spacing w:line="240" w:lineRule="auto"/>
        <w:ind w:left="720"/>
      </w:pPr>
      <w:r/>
      <w:hyperlink r:id="rId13">
        <w:r>
          <w:rPr>
            <w:color w:val="0000EE"/>
            <w:u w:val="single"/>
          </w:rPr>
          <w:t>https://www.pwc.com/gx/en/services/sustainability/publications/corporate-sustainability-reporting-directive.html</w:t>
        </w:r>
      </w:hyperlink>
      <w:r>
        <w:t xml:space="preserve"> - Corroborates the PwC survey on companies' confidence in meeting the Corporate Sustainability Reporting Directive (CSRD) obligations.</w:t>
      </w:r>
      <w:r/>
    </w:p>
    <w:p>
      <w:pPr>
        <w:pStyle w:val="ListNumber"/>
        <w:spacing w:line="240" w:lineRule="auto"/>
        <w:ind w:left="720"/>
      </w:pPr>
      <w:r/>
      <w:hyperlink r:id="rId14">
        <w:r>
          <w:rPr>
            <w:color w:val="0000EE"/>
            <w:u w:val="single"/>
          </w:rPr>
          <w:t>https://group.bnpparibas/en/press-release/bnp-paribas-launches-e750-million-low-carbon-transition-infrastructure-fund</w:t>
        </w:r>
      </w:hyperlink>
      <w:r>
        <w:t xml:space="preserve"> - Details BNP Paribas's launch of a low carbon transition infrastructure fund, aligning with new financial solutions in ESG.</w:t>
      </w:r>
      <w:r/>
    </w:p>
    <w:p>
      <w:pPr>
        <w:pStyle w:val="ListNumber"/>
        <w:spacing w:line="240" w:lineRule="auto"/>
        <w:ind w:left="720"/>
      </w:pPr>
      <w:r/>
      <w:hyperlink r:id="rId15">
        <w:r>
          <w:rPr>
            <w:color w:val="0000EE"/>
            <w:u w:val="single"/>
          </w:rPr>
          <w:t>https://www.eqtgroup.com/news/eqt-advances-sustainability-strategies-with-new-transition-infrastructure-initiative</w:t>
        </w:r>
      </w:hyperlink>
      <w:r>
        <w:t xml:space="preserve"> - Supports EQT's advancement of sustainability strategies with a new transition infrastructure initiative.</w:t>
      </w:r>
      <w:r/>
    </w:p>
    <w:p>
      <w:pPr>
        <w:pStyle w:val="ListNumber"/>
        <w:spacing w:line="240" w:lineRule="auto"/>
        <w:ind w:left="720"/>
      </w:pPr>
      <w:r/>
      <w:hyperlink r:id="rId16">
        <w:r>
          <w:rPr>
            <w:color w:val="0000EE"/>
            <w:u w:val="single"/>
          </w:rPr>
          <w:t>https://www.mirova.com/en/news/mirova-introduces-platform-focused-impact-investments-real-assets</w:t>
        </w:r>
      </w:hyperlink>
      <w:r>
        <w:t xml:space="preserve"> - Corroborates Mirova's introduction of a platform focused on impact investments in real assets.</w:t>
      </w:r>
      <w:r/>
    </w:p>
    <w:p>
      <w:pPr>
        <w:pStyle w:val="ListNumber"/>
        <w:spacing w:line="240" w:lineRule="auto"/>
        <w:ind w:left="720"/>
      </w:pPr>
      <w:r/>
      <w:hyperlink r:id="rId17">
        <w:r>
          <w:rPr>
            <w:color w:val="0000EE"/>
            <w:u w:val="single"/>
          </w:rPr>
          <w:t>https://www.morganstanley.com/ideas/sustainable-investing-trends</w:t>
        </w:r>
      </w:hyperlink>
      <w:r>
        <w:t xml:space="preserve"> - Supports Morgan Stanley's research indicating that approximately 80% of investors plan to increase their commitments to sustainable investments.</w:t>
      </w:r>
      <w:r/>
    </w:p>
    <w:p>
      <w:pPr>
        <w:pStyle w:val="ListNumber"/>
        <w:spacing w:line="240" w:lineRule="auto"/>
        <w:ind w:left="720"/>
      </w:pPr>
      <w:r/>
      <w:hyperlink r:id="rId18">
        <w:r>
          <w:rPr>
            <w:color w:val="0000EE"/>
            <w:u w:val="single"/>
          </w:rPr>
          <w:t>https://www.heirloomcarbon.com/news/heirloom-raises-150-million-to-scale-carbon-removal-capabilities</w:t>
        </w:r>
      </w:hyperlink>
      <w:r>
        <w:t xml:space="preserve"> - Details Heirloom's funding to scale its carbon removal capabilities, reflecting capital inflows in sustainability sectors.</w:t>
      </w:r>
      <w:r/>
    </w:p>
    <w:p>
      <w:pPr>
        <w:pStyle w:val="ListNumber"/>
        <w:spacing w:line="240" w:lineRule="auto"/>
        <w:ind w:left="720"/>
      </w:pPr>
      <w:r/>
      <w:hyperlink r:id="rId19">
        <w:r>
          <w:rPr>
            <w:color w:val="0000EE"/>
            <w:u w:val="single"/>
          </w:rPr>
          <w:t>https://www.esgtoday.com/esg-today-week-in-review-194/?utm_source=rss&amp;utm_medium=rss&amp;utm_campaign=esg-today-week-in-review-194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xasattorneygeneral.gov/news/releases/attorney-general-ken-paxton-sues-blackrock-state-street-and-vanguard-illegally-conspiring-manipulate" TargetMode="External"/><Relationship Id="rId11" Type="http://schemas.openxmlformats.org/officeDocument/2006/relationships/hyperlink" Target="https://www.bankingdive.com/news/blackrock-state-street-vanguard-sued-texas-red-states-anticompetitive-coal-practices/734329/" TargetMode="External"/><Relationship Id="rId12" Type="http://schemas.openxmlformats.org/officeDocument/2006/relationships/hyperlink" Target="https://ec.europa.eu/info/publications/sustainable-growth_en" TargetMode="External"/><Relationship Id="rId13" Type="http://schemas.openxmlformats.org/officeDocument/2006/relationships/hyperlink" Target="https://www.pwc.com/gx/en/services/sustainability/publications/corporate-sustainability-reporting-directive.html" TargetMode="External"/><Relationship Id="rId14" Type="http://schemas.openxmlformats.org/officeDocument/2006/relationships/hyperlink" Target="https://group.bnpparibas/en/press-release/bnp-paribas-launches-e750-million-low-carbon-transition-infrastructure-fund" TargetMode="External"/><Relationship Id="rId15" Type="http://schemas.openxmlformats.org/officeDocument/2006/relationships/hyperlink" Target="https://www.eqtgroup.com/news/eqt-advances-sustainability-strategies-with-new-transition-infrastructure-initiative" TargetMode="External"/><Relationship Id="rId16" Type="http://schemas.openxmlformats.org/officeDocument/2006/relationships/hyperlink" Target="https://www.mirova.com/en/news/mirova-introduces-platform-focused-impact-investments-real-assets" TargetMode="External"/><Relationship Id="rId17" Type="http://schemas.openxmlformats.org/officeDocument/2006/relationships/hyperlink" Target="https://www.morganstanley.com/ideas/sustainable-investing-trends" TargetMode="External"/><Relationship Id="rId18" Type="http://schemas.openxmlformats.org/officeDocument/2006/relationships/hyperlink" Target="https://www.heirloomcarbon.com/news/heirloom-raises-150-million-to-scale-carbon-removal-capabilities" TargetMode="External"/><Relationship Id="rId19" Type="http://schemas.openxmlformats.org/officeDocument/2006/relationships/hyperlink" Target="https://www.esgtoday.com/esg-today-week-in-review-194/?utm_source=rss&amp;utm_medium=rss&amp;utm_campaign=esg-today-week-in-review-1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