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embraces new ecodesign legislation for a circular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 is poised to undergo a significant transformation in its product economy following the recent approval of new ecodesign legislation by lawmakers, as reported by Innovators Magazine. This legislation aims to promote a circular economy across the continent by requiring industries to incorporate circular principles from the initial stages of product design and development. The new rules will come into effect in 2026 and will apply to a wide array of products, with certain categories such as cars and defence-related items noted as exceptions.</w:t>
      </w:r>
      <w:r/>
    </w:p>
    <w:p>
      <w:r/>
      <w:r>
        <w:t>Central to this initiative is the introduction of the Digital Product Passport (DPP), which serves as a comprehensive digital interface containing vital information about each product. This includes details about its ingredients, manufacturing processes, certifications, and end-of-life options. Advocates of the DPP, such as Thomas Rödding, CEO of Narravero, emphasise its potential to facilitate transparency and efficiency in the circular economy.</w:t>
      </w:r>
      <w:r/>
    </w:p>
    <w:p>
      <w:r/>
      <w:r>
        <w:t>Rödding, speaking to Innovators Magazine, explained, “The European idea of the DPP is to have one digital interface, one data hub that knows everything about a product." He underscored the importance of having comprehensive information available at consumers' fingertips, stating, "If you know everything about a product: its ingredients, the way it was made, every certificate that might be relevant, every substance or ingredient, as well as all the options for how to recycle it, or resell it, or refurbish it, then you have all the information available, and that’s opening the door into a world where it’s much easier to live a circular economy.”</w:t>
      </w:r>
      <w:r/>
    </w:p>
    <w:p>
      <w:r/>
      <w:r>
        <w:t>The DPP is expected to facilitate direct communication with products, enabling users to pose questions regarding usability and lifecycle options. Rödding likened the DPP to a pivotal moment in the tech industry, suggesting it could represent “the iPhone moment for the circular economy.” He elaborated, “The DPP is one point of contact, one single point of data access, with all the information for the stakeholders, authorities, for the customers and the consumers. There’s a similarity, as it’s putting all the different aspects into one thing, which is what makes it so fascinating.”</w:t>
      </w:r>
      <w:r/>
    </w:p>
    <w:p>
      <w:r/>
      <w:r>
        <w:t xml:space="preserve">Narravero is strategically positioned to play a crucial role in the implementation of this new framework, leveraging Near Field Communication (NFC) technology to enhance product interactivity. Rödding assured that the technological infrastructure required to support the DPP is robust enough to handle the anticipated scale, which is projected to involve approximately five trillion products needing a digital product passport annually by 2030. </w:t>
      </w:r>
      <w:r/>
    </w:p>
    <w:p>
      <w:r/>
      <w:r>
        <w:t>He affirmed, "All the information will be fully traceable using deep technologies, so it won’t be a case of just saying it’s a good product. Any information regarding environmental and social impacts will be verified, understood, checked – so it can be trusted."</w:t>
      </w:r>
      <w:r/>
    </w:p>
    <w:p>
      <w:r/>
      <w:r>
        <w:t>As businesses prepare for these upcoming changes, the focus on emerging technologies and industry innovations is expected to reshape operational practices. The implications of the DPP and similar advancements could foster a more sustainable, informed marketplace, responding effectively to the challenges of a circular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https://www.circularise.com/blogs/a-guide-to-the-ecodesign-for-sustainable-products-regulation-espr</w:t>
        </w:r>
      </w:hyperlink>
      <w:r>
        <w:t xml:space="preserve"> - Corroborates the introduction of the Ecodesign for Sustainable Products Regulation (ESPR) and its aim to promote a circular economy.</w:t>
      </w:r>
      <w:r/>
    </w:p>
    <w:p>
      <w:pPr>
        <w:pStyle w:val="ListNumber"/>
        <w:spacing w:line="240" w:lineRule="auto"/>
        <w:ind w:left="720"/>
      </w:pPr>
      <w:r/>
      <w:hyperlink r:id="rId11">
        <w:r>
          <w:rPr>
            <w:color w:val="0000EE"/>
            <w:u w:val="single"/>
          </w:rPr>
          <w:t>https://commission.europa.eu/energy-climate-change-environment/standards-tools-and-labels/products-labelling-rules-and-requirements/ecodesign-sustainable-products-regulation_en</w:t>
        </w:r>
      </w:hyperlink>
      <w:r>
        <w:t xml:space="preserve"> - Provides details on the ESPR's objectives, including improving product circularity, energy performance, recyclability, and durability, and the introduction of the Digital Product Passport (DPP).</w:t>
      </w:r>
      <w:r/>
    </w:p>
    <w:p>
      <w:pPr>
        <w:pStyle w:val="ListNumber"/>
        <w:spacing w:line="240" w:lineRule="auto"/>
        <w:ind w:left="720"/>
      </w:pPr>
      <w:r/>
      <w:hyperlink r:id="rId12">
        <w:r>
          <w:rPr>
            <w:color w:val="0000EE"/>
            <w:u w:val="single"/>
          </w:rPr>
          <w:t>https://www.sidley.com/en/insights/newsupdates/2024/07/with-ecodesign-for-sustainable-products-regulation</w:t>
        </w:r>
      </w:hyperlink>
      <w:r>
        <w:t xml:space="preserve"> - Explains the scope of the ESPR, including its application to a wide array of products, exceptions, and the introduction of the DPP and its functions.</w:t>
      </w:r>
      <w:r/>
    </w:p>
    <w:p>
      <w:pPr>
        <w:pStyle w:val="ListNumber"/>
        <w:spacing w:line="240" w:lineRule="auto"/>
        <w:ind w:left="720"/>
      </w:pPr>
      <w:r/>
      <w:hyperlink r:id="rId10">
        <w:r>
          <w:rPr>
            <w:color w:val="0000EE"/>
            <w:u w:val="single"/>
          </w:rPr>
          <w:t>https://www.circularise.com/blogs/a-guide-to-the-ecodesign-for-sustainable-products-regulation-espr</w:t>
        </w:r>
      </w:hyperlink>
      <w:r>
        <w:t xml:space="preserve"> - Details the timeline and key milestones of the ESPR, including its entry into force and the phased implementation of its requirements.</w:t>
      </w:r>
      <w:r/>
    </w:p>
    <w:p>
      <w:pPr>
        <w:pStyle w:val="ListNumber"/>
        <w:spacing w:line="240" w:lineRule="auto"/>
        <w:ind w:left="720"/>
      </w:pPr>
      <w:r/>
      <w:hyperlink r:id="rId11">
        <w:r>
          <w:rPr>
            <w:color w:val="0000EE"/>
            <w:u w:val="single"/>
          </w:rPr>
          <w:t>https://commission.europa.eu/energy-climate-change-environment/standards-tools-and-labels/products-labelling-rules-and-requirements/ecodesign-sustainable-products-regulation_en</w:t>
        </w:r>
      </w:hyperlink>
      <w:r>
        <w:t xml:space="preserve"> - Outlines the ecodesign requirements and the role of the DPP in facilitating transparency and efficiency in the circular economy.</w:t>
      </w:r>
      <w:r/>
    </w:p>
    <w:p>
      <w:pPr>
        <w:pStyle w:val="ListNumber"/>
        <w:spacing w:line="240" w:lineRule="auto"/>
        <w:ind w:left="720"/>
      </w:pPr>
      <w:r/>
      <w:hyperlink r:id="rId12">
        <w:r>
          <w:rPr>
            <w:color w:val="0000EE"/>
            <w:u w:val="single"/>
          </w:rPr>
          <w:t>https://www.sidley.com/en/insights/newsupdates/2024/07/with-ecodesign-for-sustainable-products-regulation</w:t>
        </w:r>
      </w:hyperlink>
      <w:r>
        <w:t xml:space="preserve"> - Discusses the reporting obligations on unsold goods and the ban on destroying unsold products, starting with apparel and footwear.</w:t>
      </w:r>
      <w:r/>
    </w:p>
    <w:p>
      <w:pPr>
        <w:pStyle w:val="ListNumber"/>
        <w:spacing w:line="240" w:lineRule="auto"/>
        <w:ind w:left="720"/>
      </w:pPr>
      <w:r/>
      <w:hyperlink r:id="rId11">
        <w:r>
          <w:rPr>
            <w:color w:val="0000EE"/>
            <w:u w:val="single"/>
          </w:rPr>
          <w:t>https://commission.europa.eu/energy-climate-change-environment/standards-tools-and-labels/products-labelling-rules-and-requirements/ecodesign-sustainable-products-regulation_en</w:t>
        </w:r>
      </w:hyperlink>
      <w:r>
        <w:t xml:space="preserve"> - Explains the mandatory Green Public Procurement rules and their impact on promoting sustainable products.</w:t>
      </w:r>
      <w:r/>
    </w:p>
    <w:p>
      <w:pPr>
        <w:pStyle w:val="ListNumber"/>
        <w:spacing w:line="240" w:lineRule="auto"/>
        <w:ind w:left="720"/>
      </w:pPr>
      <w:r/>
      <w:hyperlink r:id="rId10">
        <w:r>
          <w:rPr>
            <w:color w:val="0000EE"/>
            <w:u w:val="single"/>
          </w:rPr>
          <w:t>https://www.circularise.com/blogs/a-guide-to-the-ecodesign-for-sustainable-products-regulation-espr</w:t>
        </w:r>
      </w:hyperlink>
      <w:r>
        <w:t xml:space="preserve"> - Highlights the significance of the ESPR in contributing to the EU's environmental and climate goals, including doubling the circularity rate of materials used.</w:t>
      </w:r>
      <w:r/>
    </w:p>
    <w:p>
      <w:pPr>
        <w:pStyle w:val="ListNumber"/>
        <w:spacing w:line="240" w:lineRule="auto"/>
        <w:ind w:left="720"/>
      </w:pPr>
      <w:r/>
      <w:hyperlink r:id="rId12">
        <w:r>
          <w:rPr>
            <w:color w:val="0000EE"/>
            <w:u w:val="single"/>
          </w:rPr>
          <w:t>https://www.sidley.com/en/insights/newsupdates/2024/07/with-ecodesign-for-sustainable-products-regulation</w:t>
        </w:r>
      </w:hyperlink>
      <w:r>
        <w:t xml:space="preserve"> - Mentions the working plan for setting ecodesign requirements and the anticipated timelines for their adoption.</w:t>
      </w:r>
      <w:r/>
    </w:p>
    <w:p>
      <w:pPr>
        <w:pStyle w:val="ListNumber"/>
        <w:spacing w:line="240" w:lineRule="auto"/>
        <w:ind w:left="720"/>
      </w:pPr>
      <w:r/>
      <w:hyperlink r:id="rId11">
        <w:r>
          <w:rPr>
            <w:color w:val="0000EE"/>
            <w:u w:val="single"/>
          </w:rPr>
          <w:t>https://commission.europa.eu/energy-climate-change-environment/standards-tools-and-labels/products-labelling-rules-and-requirements/ecodesign-sustainable-products-regulation_en</w:t>
        </w:r>
      </w:hyperlink>
      <w:r>
        <w:t xml:space="preserve"> - Details the exceptions to the ESPR, such as food, feed, and medicinal products.</w:t>
      </w:r>
      <w:r/>
    </w:p>
    <w:p>
      <w:pPr>
        <w:pStyle w:val="ListNumber"/>
        <w:spacing w:line="240" w:lineRule="auto"/>
        <w:ind w:left="720"/>
      </w:pPr>
      <w:r/>
      <w:hyperlink r:id="rId10">
        <w:r>
          <w:rPr>
            <w:color w:val="0000EE"/>
            <w:u w:val="single"/>
          </w:rPr>
          <w:t>https://www.circularise.com/blogs/a-guide-to-the-ecodesign-for-sustainable-products-regulation-espr</w:t>
        </w:r>
      </w:hyperlink>
      <w:r>
        <w:t xml:space="preserve"> - Emphasizes the role of the ESPR in fostering a culture of sustainability and supporting the goals of the European Green Deal.</w:t>
      </w:r>
      <w:r/>
    </w:p>
    <w:p>
      <w:pPr>
        <w:pStyle w:val="ListNumber"/>
        <w:spacing w:line="240" w:lineRule="auto"/>
        <w:ind w:left="720"/>
      </w:pPr>
      <w:r/>
      <w:hyperlink r:id="rId13">
        <w:r>
          <w:rPr>
            <w:color w:val="0000EE"/>
            <w:u w:val="single"/>
          </w:rPr>
          <w:t>https://www.innovatorsmag.com/is-this-the-iphone-moment-for-the-circular-economy/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rcularise.com/blogs/a-guide-to-the-ecodesign-for-sustainable-products-regulation-espr" TargetMode="External"/><Relationship Id="rId11" Type="http://schemas.openxmlformats.org/officeDocument/2006/relationships/hyperlink" Target="https://commission.europa.eu/energy-climate-change-environment/standards-tools-and-labels/products-labelling-rules-and-requirements/ecodesign-sustainable-products-regulation_en" TargetMode="External"/><Relationship Id="rId12" Type="http://schemas.openxmlformats.org/officeDocument/2006/relationships/hyperlink" Target="https://www.sidley.com/en/insights/newsupdates/2024/07/with-ecodesign-for-sustainable-products-regulation" TargetMode="External"/><Relationship Id="rId13" Type="http://schemas.openxmlformats.org/officeDocument/2006/relationships/hyperlink" Target="https://www.innovatorsmag.com/is-this-the-iphone-moment-for-the-circular-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