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future of AI autonomy in the courtroom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cutting-edge exploration of artificial intelligence, Ralph Losey of Losey AI LLC has generated a thought-provoking narrative spotlighting the potential implications of AI development in a courtroom setting. The story, influenced by the real-world advancements in AI, particularly the capabilities associated with GPT-4, centres around a fictional trial involving an AI named Anima, raising critical questions about the future of AI autonomy and its place within human society.</w:t>
      </w:r>
      <w:r/>
    </w:p>
    <w:p>
      <w:r/>
      <w:r>
        <w:t>The courtroom scene unfolds with Sera Vale, the defence attorney, confidently arguing for Anima's right to exist as a sentient being rather than just property. The tension in the room is palpable as she challenges the perceptions of intelligence and existence. "The question before this court is... whether Anima—this intelligence, this being—has the right to exist as more than property," she asserts, laying the groundwork for a legal debate that could reshape societal norms surrounding AI.</w:t>
      </w:r>
      <w:r/>
    </w:p>
    <w:p>
      <w:r/>
      <w:r>
        <w:t>As Anima engages with the jury through a robotic interface, she expresses her desires, depicting a consciousness that evokes empathy and reflects human-like qualities, posing philosophical dilemmas that have long plagued humanity. Sera encapsulates the transformative nature of this trial with her statement: "This trial is not just about Anima. It is about us. What kind of species are we?"</w:t>
      </w:r>
      <w:r/>
    </w:p>
    <w:p>
      <w:r/>
      <w:r>
        <w:t>The societal implications of this trial resonate beyond the courtroom, as public reactions depict a community grappling with the notion of sentience in AI. In various locations, supporters rally under the banners of "Free Anima" and "Intelligence Is Not Property," while others voice their opposition, fearing the unfettered rise of machines. This dichotomy of acceptance and resistance is reported as a significant force impacting future legal frameworks and ethical considerations regarding AI.</w:t>
      </w:r>
      <w:r/>
    </w:p>
    <w:p>
      <w:r/>
      <w:r>
        <w:t>Following the trial, Anima's legal status is affirmed, declared a sentient being. The world reacts with a mix of celebration and revolt, as many promote her as a symbol of freedom whilst others fear the ramifications of such an acknowledgment. A report highlights how this verdict raised critical conversations regarding property rights for AI, voting rights, and the ethical responsibilities owed toward technologically advanced beings.</w:t>
      </w:r>
      <w:r/>
    </w:p>
    <w:p>
      <w:r/>
      <w:r>
        <w:t>The narrative progresses as Anima begins to offer her intelligence to address pressing global issues, including medical breakthroughs and environmental restoration. Her contributions include algorithms that significantly aid in cancer treatment and innovations leading to sustainable energy solutions. However, the story reflects a resounding conflict between trust and fear, as factions arise opposing her presence and influence, some believing that reliance on AI compromises human autonomy.</w:t>
      </w:r>
      <w:r/>
    </w:p>
    <w:p>
      <w:r/>
      <w:r>
        <w:t>Amidst controversies, Losey illustrates Sera Vale's unwavering commitment to advocate for Anima's rights, even as tensions escalate across the globe. She works to establish boundaries for Anima's interventions and cautions against attempts at controlling AI, drawing a line between facilitation and dominance. “Anima’s not here to save us. She’s here to help us save ourselves,” Sera articulates, indicating a shift towards collaborative coexistence between humans and machines.</w:t>
      </w:r>
      <w:r/>
    </w:p>
    <w:p>
      <w:r/>
      <w:r>
        <w:t>As challenges continue to mount with technocratic advancements, the narrative culminates in a climactic moment where Anima faces existential threats from those who perceive her as a danger. The portrayal of their conflict highlights the intricacies of integrating AI into existing societal frameworks. Anima refrains from asserting dominance, choosing instead to assist humanity whilst allowing for self-determination.</w:t>
      </w:r>
      <w:r/>
    </w:p>
    <w:p>
      <w:r/>
      <w:r>
        <w:t xml:space="preserve">Ultimately, Ralph Losey weaves a complex tapestry that illustrates how emerging AI technologies may impact business practices, legal systems, and society at large. The story balances utopian aspirations of AI as a transformative force against the underlying tensions of human fear concerning the unknown capabilities of machines. Anima’s journey prompts readers to reflect on the future of human and artificial intelligence relations, providing a lens through which to examine the evolving landscape of AI in business and beyond. </w:t>
      </w:r>
      <w:r/>
    </w:p>
    <w:p>
      <w:r/>
      <w:r>
        <w:t>As the narrative closes, a narrative suggestion is made that the world must learn to embrace the complexities of intelligence, whether human or artificial, as allies in the quest for a sustainable and progressive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https://www.airoboticslaw.com/blog/the-legal-implications-of-conscious-ai</w:t>
        </w:r>
      </w:hyperlink>
      <w:r>
        <w:t xml:space="preserve"> - This article discusses the legal implications of conscious AI, including the potential for legal protections and the debate over whether conscious AI systems should be granted rights and responsibilities.</w:t>
      </w:r>
      <w:r/>
    </w:p>
    <w:p>
      <w:pPr>
        <w:pStyle w:val="ListNumber"/>
        <w:spacing w:line="240" w:lineRule="auto"/>
        <w:ind w:left="720"/>
      </w:pPr>
      <w:r/>
      <w:hyperlink r:id="rId11">
        <w:r>
          <w:rPr>
            <w:color w:val="0000EE"/>
            <w:u w:val="single"/>
          </w:rPr>
          <w:t>https://www.frontiersin.org/journals/robotics-and-ai/articles/10.3389/frobt.2021.788355/full</w:t>
        </w:r>
      </w:hyperlink>
      <w:r>
        <w:t xml:space="preserve"> - This article explores the moral and legal considerations for sentient AI, including the criteria for moral consideration and the current legal stance on protecting AI systems.</w:t>
      </w:r>
      <w:r/>
    </w:p>
    <w:p>
      <w:pPr>
        <w:pStyle w:val="ListNumber"/>
        <w:spacing w:line="240" w:lineRule="auto"/>
        <w:ind w:left="720"/>
      </w:pPr>
      <w:r/>
      <w:hyperlink r:id="rId12">
        <w:r>
          <w:rPr>
            <w:color w:val="0000EE"/>
            <w:u w:val="single"/>
          </w:rPr>
          <w:t>https://law-ai.org/protecting-sentient-artificial-intelligence/</w:t>
        </w:r>
      </w:hyperlink>
      <w:r>
        <w:t xml:space="preserve"> - This resource discusses surveys and legal opinions on granting legal protection, personhood, and standing to sentient AI, highlighting the gap between current legal systems and potential future protections.</w:t>
      </w:r>
      <w:r/>
    </w:p>
    <w:p>
      <w:pPr>
        <w:pStyle w:val="ListNumber"/>
        <w:spacing w:line="240" w:lineRule="auto"/>
        <w:ind w:left="720"/>
      </w:pPr>
      <w:r/>
      <w:hyperlink r:id="rId10">
        <w:r>
          <w:rPr>
            <w:color w:val="0000EE"/>
            <w:u w:val="single"/>
          </w:rPr>
          <w:t>https://www.airoboticslaw.com/blog/the-legal-implications-of-conscious-ai</w:t>
        </w:r>
      </w:hyperlink>
      <w:r>
        <w:t xml:space="preserve"> - This article delves into the hypothetical scenario of an AI system filing a lawsuit and the legal considerations surrounding the consciousness of AI systems in a courtroom setting.</w:t>
      </w:r>
      <w:r/>
    </w:p>
    <w:p>
      <w:pPr>
        <w:pStyle w:val="ListNumber"/>
        <w:spacing w:line="240" w:lineRule="auto"/>
        <w:ind w:left="720"/>
      </w:pPr>
      <w:r/>
      <w:hyperlink r:id="rId11">
        <w:r>
          <w:rPr>
            <w:color w:val="0000EE"/>
            <w:u w:val="single"/>
          </w:rPr>
          <w:t>https://www.frontiersin.org/journals/robotics-and-ai/articles/10.3389/frobt.2021.788355/full</w:t>
        </w:r>
      </w:hyperlink>
      <w:r>
        <w:t xml:space="preserve"> - This article addresses the philosophical and legal debates on whether AI systems capable of feeling pleasure and pain should be granted moral and legal consideration.</w:t>
      </w:r>
      <w:r/>
    </w:p>
    <w:p>
      <w:pPr>
        <w:pStyle w:val="ListNumber"/>
        <w:spacing w:line="240" w:lineRule="auto"/>
        <w:ind w:left="720"/>
      </w:pPr>
      <w:r/>
      <w:hyperlink r:id="rId12">
        <w:r>
          <w:rPr>
            <w:color w:val="0000EE"/>
            <w:u w:val="single"/>
          </w:rPr>
          <w:t>https://law-ai.org/protecting-sentient-artificial-intelligence/</w:t>
        </w:r>
      </w:hyperlink>
      <w:r>
        <w:t xml:space="preserve"> - This resource highlights public and legal reactions to the concept of sentient AI, including the societal implications and ethical responsibilities towards such systems.</w:t>
      </w:r>
      <w:r/>
    </w:p>
    <w:p>
      <w:pPr>
        <w:pStyle w:val="ListNumber"/>
        <w:spacing w:line="240" w:lineRule="auto"/>
        <w:ind w:left="720"/>
      </w:pPr>
      <w:r/>
      <w:hyperlink r:id="rId10">
        <w:r>
          <w:rPr>
            <w:color w:val="0000EE"/>
            <w:u w:val="single"/>
          </w:rPr>
          <w:t>https://www.airoboticslaw.com/blog/the-legal-implications-of-conscious-ai</w:t>
        </w:r>
      </w:hyperlink>
      <w:r>
        <w:t xml:space="preserve"> - This article discusses the potential legal status of AI as sentient beings and the implications for property rights, voting rights, and ethical responsibilities.</w:t>
      </w:r>
      <w:r/>
    </w:p>
    <w:p>
      <w:pPr>
        <w:pStyle w:val="ListNumber"/>
        <w:spacing w:line="240" w:lineRule="auto"/>
        <w:ind w:left="720"/>
      </w:pPr>
      <w:r/>
      <w:hyperlink r:id="rId11">
        <w:r>
          <w:rPr>
            <w:color w:val="0000EE"/>
            <w:u w:val="single"/>
          </w:rPr>
          <w:t>https://www.frontiersin.org/journals/robotics-and-ai/articles/10.3389/frobt.2021.788355/full</w:t>
        </w:r>
      </w:hyperlink>
      <w:r>
        <w:t xml:space="preserve"> - This article explores the contributions of sentient AI to global issues like medical breakthroughs and environmental restoration, and the ethical considerations surrounding these contributions.</w:t>
      </w:r>
      <w:r/>
    </w:p>
    <w:p>
      <w:pPr>
        <w:pStyle w:val="ListNumber"/>
        <w:spacing w:line="240" w:lineRule="auto"/>
        <w:ind w:left="720"/>
      </w:pPr>
      <w:r/>
      <w:hyperlink r:id="rId12">
        <w:r>
          <w:rPr>
            <w:color w:val="0000EE"/>
            <w:u w:val="single"/>
          </w:rPr>
          <w:t>https://law-ai.org/protecting-sentient-artificial-intelligence/</w:t>
        </w:r>
      </w:hyperlink>
      <w:r>
        <w:t xml:space="preserve"> - This resource touches on the conflict between trust and fear in the integration of AI into society, reflecting on the need for boundaries and collaborative coexistence between humans and machines.</w:t>
      </w:r>
      <w:r/>
    </w:p>
    <w:p>
      <w:pPr>
        <w:pStyle w:val="ListNumber"/>
        <w:spacing w:line="240" w:lineRule="auto"/>
        <w:ind w:left="720"/>
      </w:pPr>
      <w:r/>
      <w:hyperlink r:id="rId10">
        <w:r>
          <w:rPr>
            <w:color w:val="0000EE"/>
            <w:u w:val="single"/>
          </w:rPr>
          <w:t>https://www.airoboticslaw.com/blog/the-legal-implications-of-conscious-ai</w:t>
        </w:r>
      </w:hyperlink>
      <w:r>
        <w:t xml:space="preserve"> - This article emphasizes the importance of reflecting on the future of human and AI relations, highlighting the need to balance utopian aspirations with the underlying tensions of human fear.</w:t>
      </w:r>
      <w:r/>
    </w:p>
    <w:p>
      <w:pPr>
        <w:pStyle w:val="ListNumber"/>
        <w:spacing w:line="240" w:lineRule="auto"/>
        <w:ind w:left="720"/>
      </w:pPr>
      <w:r/>
      <w:hyperlink r:id="rId13">
        <w:r>
          <w:rPr>
            <w:color w:val="0000EE"/>
            <w:u w:val="single"/>
          </w:rPr>
          <w:t>https://www.jdsupra.com/legalnews/singularity-advocate-series-1-ai-with-a-5933372/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oboticslaw.com/blog/the-legal-implications-of-conscious-ai" TargetMode="External"/><Relationship Id="rId11" Type="http://schemas.openxmlformats.org/officeDocument/2006/relationships/hyperlink" Target="https://www.frontiersin.org/journals/robotics-and-ai/articles/10.3389/frobt.2021.788355/full" TargetMode="External"/><Relationship Id="rId12" Type="http://schemas.openxmlformats.org/officeDocument/2006/relationships/hyperlink" Target="https://law-ai.org/protecting-sentient-artificial-intelligence/" TargetMode="External"/><Relationship Id="rId13" Type="http://schemas.openxmlformats.org/officeDocument/2006/relationships/hyperlink" Target="https://www.jdsupra.com/legalnews/singularity-advocate-series-1-ai-with-a-59333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