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cryptocurrency: Solana AI, Internet Computer and BlockDAG lead the 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the cryptocurrency sector have highlighted the rapid advancements in blockchain technology, particularly with companies like Solana AI, the Internet Computer, and BlockDAG. Each of these entities is influencing the digital currency landscape in significant ways.</w:t>
      </w:r>
      <w:r/>
    </w:p>
    <w:p>
      <w:r/>
      <w:r>
        <w:t>Solana AI has reached an impressive valuation of $5 billion, driven by a burgeoning ecosystem featuring more than 206 AI tokens and over 7,625 newly onboarded developers in 2024 alone. However, the platform has faced scrutiny due to persistent network outages, raising concerns about its overall reliability. Market performance for Solana AI has seen the platform trading between $13 and $15, amidst ongoing challenges with scalability and competition from other emerging platforms aiming to enhance stability.</w:t>
      </w:r>
      <w:r/>
    </w:p>
    <w:p>
      <w:r/>
      <w:r>
        <w:t>Simultaneously, the Internet Computer is gaining traction as it supports the evolution of Web3 applications. Its decentralised platform aims to facilitate the creation of applications that operate free from censorship and without the need for traditional centralised servers. Despite its vision for a user-centric internet, the Internet Computer grapples with issues surrounding scalability and competition, necessitating a strong focus on retaining developer engagement to ensure its success in the rapidly expanding market.</w:t>
      </w:r>
      <w:r/>
    </w:p>
    <w:p>
      <w:r/>
      <w:r>
        <w:t xml:space="preserve">At the cutting edge of crypto mining, BlockDAG has established itself through its innovative X30 and X100 mining devices, which have collectively sold over 14,811 units, generating $5.9 million in revenue. The X30 Miner offers a hash rate of 280 GH/s and consumes 220 watts, while the more powerful X100 Miner boasts a hash rate of 2 TH/s with a consumption of 1800 watts. These devices are said to maximise the profitability of mining ventures, with potential earnings reaching up to $2,000 daily for users as the price of BDAG approaches $1. </w:t>
      </w:r>
      <w:r/>
    </w:p>
    <w:p>
      <w:r/>
      <w:r>
        <w:t>Industry experts have noted that BlockDAG's presale efforts have raised over $167 million from the sale of 17.2 billion BDAG coins, a figure that marks a substantial 2240% increase in value from its initial pricing. Such impressive returns underline the growing interest in these mining devices, as demand continues to surge.</w:t>
      </w:r>
      <w:r/>
    </w:p>
    <w:p>
      <w:r/>
      <w:r>
        <w:t>In summary, the cryptocurrency landscape is witnessing significant growth and transformation, largely driven by advancements in automation and emerging technologies. As Solana AI and the Internet Computer strive for prominence in the market, BlockDAG’s mining innovations present a compelling opportunity in the crypto-mining segment, making it a key player to watch in 2024.</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