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advised to refine disclosures ahead of SEC year-end filings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prepare for fiscal year-end filings with the Securities and Exchange Commission (SEC) in 2025, a recent memorandum from Mintz outlines critical considerations that public companies must prioritise during this process. The memorandum highlights the importance of refining disclosures to align with prior SEC rulemaking activities, particularly in light of developments concerning cybersecurity, insider trading policies, and the implications of artificial intelligence on business operations.</w:t>
      </w:r>
      <w:r/>
    </w:p>
    <w:p>
      <w:r/>
      <w:r>
        <w:t>While the SEC was less active in adopting new regulations throughout 2024 compared to previous years, companies are advised that the landscape remains dynamic, particularly regarding cybersecurity disclosures. Firms must ensure that they are not only compliant but also proactive in addressing these emerging threats as they compile their year-end reports. This includes a thorough examination of their insider trading policies and a careful evaluation of any option awards that may have been granted close to the release of significant non-public information.</w:t>
      </w:r>
      <w:r/>
    </w:p>
    <w:p>
      <w:r/>
      <w:r>
        <w:t>Moreover, businesses are encouraged to assess the impacts of artificial intelligence on their practices and disclosures. This evolving technology is prompting companies to consider how AI affects their risk profiles, operational efficiency, and strategic planning. As companies increasingly integrate AI into their business models, the need for transparency around its use and implications in corporate governance and ethical considerations becomes ever more important.</w:t>
      </w:r>
      <w:r/>
    </w:p>
    <w:p>
      <w:r/>
      <w:r>
        <w:t>The memorandum also covers best practices for implementing refined risk factors and Management’s Discussion and Analysis of Financial Condition. Companies should take this opportunity to critically assess their risk management strategies and articulate their financial health clearly to shareholders.</w:t>
      </w:r>
      <w:r/>
    </w:p>
    <w:p>
      <w:r/>
      <w:r>
        <w:t>Additionally, Mintz provides updates on significant developments from the U.S. Food and Drug Administration (FDA) and recent legal cases that have implications for corporate governance and disclosure practices. By paying close attention to these areas, public companies can navigate the complexities of compliance and investor communication more effectively.</w:t>
      </w:r>
      <w:r/>
    </w:p>
    <w:p>
      <w:r/>
      <w:r>
        <w:t>In summary, the Mintz memorandum underscores that as companies approach their year-end reporting, an emphasis on refining disclosures while maintaining attention to regulatory developments, particularly surrounding cybersecurity and artificial intelligence, is essential for effective governance and transparency in the current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https://www.kirkland.com/publications/kirkland-alert/2024/08/2025-sec-filing-deadlines-for-public-companies</w:t>
        </w:r>
      </w:hyperlink>
      <w:r>
        <w:t xml:space="preserve"> - Provides the 2025 SEC filing deadlines for public companies, including Form 10-K and Form 10-Q, which are crucial for year-end filings.</w:t>
      </w:r>
      <w:r/>
    </w:p>
    <w:p>
      <w:pPr>
        <w:pStyle w:val="ListNumber"/>
        <w:spacing w:line="240" w:lineRule="auto"/>
        <w:ind w:left="720"/>
      </w:pPr>
      <w:r/>
      <w:hyperlink r:id="rId11">
        <w:r>
          <w:rPr>
            <w:color w:val="0000EE"/>
            <w:u w:val="single"/>
          </w:rPr>
          <w:t>https://www.sec.gov/newsroom/press-releases/2023-139</w:t>
        </w:r>
      </w:hyperlink>
      <w:r>
        <w:t xml:space="preserve"> - Details the SEC's new rules on cybersecurity risk management, strategy, governance, and incident disclosure, highlighting the need for refined disclosures on cybersecurity.</w:t>
      </w:r>
      <w:r/>
    </w:p>
    <w:p>
      <w:pPr>
        <w:pStyle w:val="ListNumber"/>
        <w:spacing w:line="240" w:lineRule="auto"/>
        <w:ind w:left="720"/>
      </w:pPr>
      <w:r/>
      <w:hyperlink r:id="rId11">
        <w:r>
          <w:rPr>
            <w:color w:val="0000EE"/>
            <w:u w:val="single"/>
          </w:rPr>
          <w:t>https://www.sec.gov/newsroom/press-releases/2023-139</w:t>
        </w:r>
      </w:hyperlink>
      <w:r>
        <w:t xml:space="preserve"> - Explains the requirement for public companies to disclose material cybersecurity incidents on Form 8-K and periodic disclosures in annual reports.</w:t>
      </w:r>
      <w:r/>
    </w:p>
    <w:p>
      <w:pPr>
        <w:pStyle w:val="ListNumber"/>
        <w:spacing w:line="240" w:lineRule="auto"/>
        <w:ind w:left="720"/>
      </w:pPr>
      <w:r/>
      <w:hyperlink r:id="rId12">
        <w:r>
          <w:rPr>
            <w:color w:val="0000EE"/>
            <w:u w:val="single"/>
          </w:rPr>
          <w:t>https://news.sophos.com/en-us/2024/09/05/the-secs-2023-final-rules-on-cybersecurity-disclosures/</w:t>
        </w:r>
      </w:hyperlink>
      <w:r>
        <w:t xml:space="preserve"> - Discusses the SEC's final rules on cybersecurity disclosures, including the timing and content of these disclosures, which companies must comply with.</w:t>
      </w:r>
      <w:r/>
    </w:p>
    <w:p>
      <w:pPr>
        <w:pStyle w:val="ListNumber"/>
        <w:spacing w:line="240" w:lineRule="auto"/>
        <w:ind w:left="720"/>
      </w:pPr>
      <w:r/>
      <w:hyperlink r:id="rId13">
        <w:r>
          <w:rPr>
            <w:color w:val="0000EE"/>
            <w:u w:val="single"/>
          </w:rPr>
          <w:t>https://www.skadden.com/-/media/files/publications/2024/10/2025-sec-filing/sec-filing-deadlines-financial-statement-staleness-calendars.pdf?rev=4464a12b95fb4eddbaf1765d0450ff62&amp;hash=11688CB37D4592D92FEF6E5DD7BCECC8</w:t>
        </w:r>
      </w:hyperlink>
      <w:r>
        <w:t xml:space="preserve"> - Outlines the SEC filing deadlines and financial statement staleness dates for 2025, which are essential for ensuring compliance with SEC regulations.</w:t>
      </w:r>
      <w:r/>
    </w:p>
    <w:p>
      <w:pPr>
        <w:pStyle w:val="ListNumber"/>
        <w:spacing w:line="240" w:lineRule="auto"/>
        <w:ind w:left="720"/>
      </w:pPr>
      <w:r/>
      <w:hyperlink r:id="rId10">
        <w:r>
          <w:rPr>
            <w:color w:val="0000EE"/>
            <w:u w:val="single"/>
          </w:rPr>
          <w:t>https://www.kirkland.com/publications/kirkland-alert/2024/08/2025-sec-filing-deadlines-for-public-companies</w:t>
        </w:r>
      </w:hyperlink>
      <w:r>
        <w:t xml:space="preserve"> - Provides guidance on the staleness dates for financial statements, which is critical for maintaining accurate and up-to-date disclosures.</w:t>
      </w:r>
      <w:r/>
    </w:p>
    <w:p>
      <w:pPr>
        <w:pStyle w:val="ListNumber"/>
        <w:spacing w:line="240" w:lineRule="auto"/>
        <w:ind w:left="720"/>
      </w:pPr>
      <w:r/>
      <w:hyperlink r:id="rId11">
        <w:r>
          <w:rPr>
            <w:color w:val="0000EE"/>
            <w:u w:val="single"/>
          </w:rPr>
          <w:t>https://www.sec.gov/newsroom/press-releases/2023-139</w:t>
        </w:r>
      </w:hyperlink>
      <w:r>
        <w:t xml:space="preserve"> - Mentions the requirement for companies to describe their processes for assessing, identifying, and managing material risks from cybersecurity threats in their annual reports.</w:t>
      </w:r>
      <w:r/>
    </w:p>
    <w:p>
      <w:pPr>
        <w:pStyle w:val="ListNumber"/>
        <w:spacing w:line="240" w:lineRule="auto"/>
        <w:ind w:left="720"/>
      </w:pPr>
      <w:r/>
      <w:hyperlink r:id="rId12">
        <w:r>
          <w:rPr>
            <w:color w:val="0000EE"/>
            <w:u w:val="single"/>
          </w:rPr>
          <w:t>https://news.sophos.com/en-us/2024/09/05/the-secs-2023-final-rules-on-cybersecurity-disclosures/</w:t>
        </w:r>
      </w:hyperlink>
      <w:r>
        <w:t xml:space="preserve"> - Highlights the effective dates of the new SEC rules on cybersecurity disclosures, which began on December 18, 2023, with additional time for smaller reporting companies.</w:t>
      </w:r>
      <w:r/>
    </w:p>
    <w:p>
      <w:pPr>
        <w:pStyle w:val="ListNumber"/>
        <w:spacing w:line="240" w:lineRule="auto"/>
        <w:ind w:left="720"/>
      </w:pPr>
      <w:r/>
      <w:hyperlink r:id="rId10">
        <w:r>
          <w:rPr>
            <w:color w:val="0000EE"/>
            <w:u w:val="single"/>
          </w:rPr>
          <w:t>https://www.kirkland.com/publications/kirkland-alert/2024/08/2025-sec-filing-deadlines-for-public-companies</w:t>
        </w:r>
      </w:hyperlink>
      <w:r>
        <w:t xml:space="preserve"> - Emphasizes the importance of updating proxy statements or Form 10-K to include Part III information, which is relevant to refining disclosures and compliance.</w:t>
      </w:r>
      <w:r/>
    </w:p>
    <w:p>
      <w:pPr>
        <w:pStyle w:val="ListNumber"/>
        <w:spacing w:line="240" w:lineRule="auto"/>
        <w:ind w:left="720"/>
      </w:pPr>
      <w:r/>
      <w:hyperlink r:id="rId13">
        <w:r>
          <w:rPr>
            <w:color w:val="0000EE"/>
            <w:u w:val="single"/>
          </w:rPr>
          <w:t>https://www.skadden.com/-/media/files/publications/2024/10/2025-sec-filing/sec-filing-deadlines-financial-statement-staleness-calendars.pdf?rev=4464a12b95fb4eddbaf1765d0450ff62&amp;hash=11688CB37D4592D92FEF6E5DD7BCECC8</w:t>
        </w:r>
      </w:hyperlink>
      <w:r>
        <w:t xml:space="preserve"> - Provides a comprehensive calendar for SEC filing deadlines and financial statement staleness dates, aiding in the assessment of risk management strategies.</w:t>
      </w:r>
      <w:r/>
    </w:p>
    <w:p>
      <w:pPr>
        <w:pStyle w:val="ListNumber"/>
        <w:spacing w:line="240" w:lineRule="auto"/>
        <w:ind w:left="720"/>
      </w:pPr>
      <w:r/>
      <w:hyperlink r:id="rId14">
        <w:r>
          <w:rPr>
            <w:color w:val="0000EE"/>
            <w:u w:val="single"/>
          </w:rPr>
          <w:t>https://natlawreview.com/article/preparation-2024-fiscal-year-end-sec-filings-and-2025-annual-shareholder-meetings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rkland.com/publications/kirkland-alert/2024/08/2025-sec-filing-deadlines-for-public-companies" TargetMode="External"/><Relationship Id="rId11" Type="http://schemas.openxmlformats.org/officeDocument/2006/relationships/hyperlink" Target="https://www.sec.gov/newsroom/press-releases/2023-139" TargetMode="External"/><Relationship Id="rId12" Type="http://schemas.openxmlformats.org/officeDocument/2006/relationships/hyperlink" Target="https://news.sophos.com/en-us/2024/09/05/the-secs-2023-final-rules-on-cybersecurity-disclosures/" TargetMode="External"/><Relationship Id="rId13" Type="http://schemas.openxmlformats.org/officeDocument/2006/relationships/hyperlink" Target="https://www.skadden.com/-/media/files/publications/2024/10/2025-sec-filing/sec-filing-deadlines-financial-statement-staleness-calendars.pdf?rev=4464a12b95fb4eddbaf1765d0450ff62&amp;hash=11688CB37D4592D92FEF6E5DD7BCECC8" TargetMode="External"/><Relationship Id="rId14" Type="http://schemas.openxmlformats.org/officeDocument/2006/relationships/hyperlink" Target="https://natlawreview.com/article/preparation-2024-fiscal-year-end-sec-filings-and-2025-annual-shareholder-mee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