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venture capital highlight disparity between AI and non-AI startups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current landscape of venture capital and artificial intelligence (AI), a notable divergence in funding trends is emerging, marking a shift in priorities for startups and investors alike. TechCrunch reports on the insights of industry experts, including IVP general partner Tom Loverro and Brian Hirsch, co-founder of Tribeca Venture Partners, which illuminate the ongoing transition as businesses navigate post-pandemic challenges.</w:t>
      </w:r>
      <w:r/>
    </w:p>
    <w:p>
      <w:r/>
      <w:r>
        <w:t>Earlier in 2023, Loverro asserted that the era of cost-cutting has concluded, urging companies that have withstood recent financial pressures to focus on growth. However, Hirsch counters this optimistic viewpoint, stating that numerous companies still face significant hurdles in securing their next financing rounds at valuations that reflect growth, highlighting that this struggle could affect thousands of startups.</w:t>
      </w:r>
      <w:r/>
    </w:p>
    <w:p>
      <w:r/>
      <w:r>
        <w:t>Tribeca Venture Partners distinguishes itself with a late-stage investment strategy, which provides vital support for companies compelled to raise capital at valuations comparable to or lower than prior funding rounds. Hirsch explained this approach, noting that while many existing investors are willing to back these companies with further financing, they rely on a third party, such as Tribeca Ventures, to facilitate a fair valuation of the deal.</w:t>
      </w:r>
      <w:r/>
    </w:p>
    <w:p>
      <w:r/>
      <w:r>
        <w:t>The fascination with AI companies is prominent in investor enthusiasm, according to Hirsch, who remarked, “VCs are excited to back AI companies at red-hot valuations, but everything else is really challenged.” This sentiment underscores a significant disparity within the venture capital arena, with emerging data from Carta revealing striking valuation variations among software deals.</w:t>
      </w:r>
      <w:r/>
    </w:p>
    <w:p>
      <w:r/>
      <w:r>
        <w:t>The analysis conducted by Carta, encompassing nearly 2,000 software deals completed within the year, indicates that the lowest 10% of Series B deals are valued at a mere $40 million. In stark contrast, the most successful companies in the same investment stage boast valuations approaching $1 billion. A similar trend appears in Series D deals, where valuations range dramatically from $27 million to as much as $5.2 billion.</w:t>
      </w:r>
      <w:r/>
    </w:p>
    <w:p>
      <w:r/>
      <w:r>
        <w:t>Prominent AI startups like ElevenLabs and Cohere have secured substantial funding, with ElevenLabs completing a $920 million Series B round, while Cohere achieved an impressive $5 billion pre-money valuation in its Series D.</w:t>
      </w:r>
      <w:r/>
    </w:p>
    <w:p>
      <w:r/>
      <w:r>
        <w:t>However, non-AI companies face a markedly different fundraising climate. Many businesses that successfully raised capital during the height of the zero-interest rate policy (ZIRP) period find themselves at a standstill when attempting to secure subsequent funding. Hirsch states that founders of non-AI startups may feel as though they are “in high school, and they didn’t get invited to the cool party,” despite the strengths of their businesses. Data from Carta indicates a troubling trend whereby only 9% of Series A firms have successfully progressed to Series B funding within a two-year period—a significant decrease from the previous rate of 25%.</w:t>
      </w:r>
      <w:r/>
    </w:p>
    <w:p>
      <w:r/>
      <w:r>
        <w:t>In response to these market dynamics, Tribeca Ventures is actively employing its growth fund to offer essential support in pricing down rounds for more mature startups—those generating annual revenues of at least $20 million. Many of these entities exhibit consistent growth; nevertheless, their inflated valuations pose challenges in the current economic environment.</w:t>
      </w:r>
      <w:r/>
    </w:p>
    <w:p>
      <w:r/>
      <w:r>
        <w:t>Hirsch concluded by emphasising that the venture capital landscape is still in a phase of adjustment, saying, “We’re still in that unwinding process. We think it’s at least a couple years more clean-up work.” This ongoing evolution highlights the complex interplay between technological advancement, especially in AI, and the changing funding climate that businesses and investors must navigate.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https://kpmg.com/xx/en/our-insights/operations/venture-pulse-q2-2024.html</w:t>
        </w:r>
      </w:hyperlink>
      <w:r>
        <w:t xml:space="preserve"> - Corroborates the increased investment in AI companies and the overall trends in venture capital investment, including the rise in mega-deals and the strong valuations of AI companies.</w:t>
      </w:r>
      <w:r/>
    </w:p>
    <w:p>
      <w:pPr>
        <w:pStyle w:val="ListNumber"/>
        <w:spacing w:line="240" w:lineRule="auto"/>
        <w:ind w:left="720"/>
      </w:pPr>
      <w:r/>
      <w:hyperlink r:id="rId11">
        <w:r>
          <w:rPr>
            <w:color w:val="0000EE"/>
            <w:u w:val="single"/>
          </w:rPr>
          <w:t>https://creti.org/news-and-insights/ai-powered-proptech-venture-capital-investment-trends-in-2024</w:t>
        </w:r>
      </w:hyperlink>
      <w:r>
        <w:t xml:space="preserve"> - Supports the significant investment in AI-powered companies, particularly in the proptech sector, and highlights the growing reliance on AI in various industries.</w:t>
      </w:r>
      <w:r/>
    </w:p>
    <w:p>
      <w:pPr>
        <w:pStyle w:val="ListNumber"/>
        <w:spacing w:line="240" w:lineRule="auto"/>
        <w:ind w:left="720"/>
      </w:pPr>
      <w:r/>
      <w:hyperlink r:id="rId12">
        <w:r>
          <w:rPr>
            <w:color w:val="0000EE"/>
            <w:u w:val="single"/>
          </w:rPr>
          <w:t>https://growthequityinterviewguide.com/trends-in-venture-capital</w:t>
        </w:r>
      </w:hyperlink>
      <w:r>
        <w:t xml:space="preserve"> - Discusses the trends in venture capital, including the focus on AI, climate tech, and the strategies of AI-focused venture capital funds, aligning with the article's themes on AI investment and valuation disparities.</w:t>
      </w:r>
      <w:r/>
    </w:p>
    <w:p>
      <w:pPr>
        <w:pStyle w:val="ListNumber"/>
        <w:spacing w:line="240" w:lineRule="auto"/>
        <w:ind w:left="720"/>
      </w:pPr>
      <w:r/>
      <w:hyperlink r:id="rId10">
        <w:r>
          <w:rPr>
            <w:color w:val="0000EE"/>
            <w:u w:val="single"/>
          </w:rPr>
          <w:t>https://kpmg.com/xx/en/our-insights/operations/venture-pulse-q2-2024.html</w:t>
        </w:r>
      </w:hyperlink>
      <w:r>
        <w:t xml:space="preserve"> - Provides data on the global and regional VC investment trends, including the Americas and Europe, which supports the broader context of VC investment shifts mentioned in the article.</w:t>
      </w:r>
      <w:r/>
    </w:p>
    <w:p>
      <w:pPr>
        <w:pStyle w:val="ListNumber"/>
        <w:spacing w:line="240" w:lineRule="auto"/>
        <w:ind w:left="720"/>
      </w:pPr>
      <w:r/>
      <w:hyperlink r:id="rId11">
        <w:r>
          <w:rPr>
            <w:color w:val="0000EE"/>
            <w:u w:val="single"/>
          </w:rPr>
          <w:t>https://creti.org/news-and-insights/ai-powered-proptech-venture-capital-investment-trends-in-2024</w:t>
        </w:r>
      </w:hyperlink>
      <w:r>
        <w:t xml:space="preserve"> - Details the regional diversification of AI investments, such as in the United States, Europe, and Asia Pacific, which aligns with the global perspective on AI investment trends.</w:t>
      </w:r>
      <w:r/>
    </w:p>
    <w:p>
      <w:pPr>
        <w:pStyle w:val="ListNumber"/>
        <w:spacing w:line="240" w:lineRule="auto"/>
        <w:ind w:left="720"/>
      </w:pPr>
      <w:r/>
      <w:hyperlink r:id="rId12">
        <w:r>
          <w:rPr>
            <w:color w:val="0000EE"/>
            <w:u w:val="single"/>
          </w:rPr>
          <w:t>https://growthequityinterviewguide.com/trends-in-venture-capital</w:t>
        </w:r>
      </w:hyperlink>
      <w:r>
        <w:t xml:space="preserve"> - Explains the strategic focus of AI-focused venture capital funds, such as Conviction, Gradient Ventures, and Glasswing Ventures, which supports the article's mention of targeted AI investments.</w:t>
      </w:r>
      <w:r/>
    </w:p>
    <w:p>
      <w:pPr>
        <w:pStyle w:val="ListNumber"/>
        <w:spacing w:line="240" w:lineRule="auto"/>
        <w:ind w:left="720"/>
      </w:pPr>
      <w:r/>
      <w:hyperlink r:id="rId10">
        <w:r>
          <w:rPr>
            <w:color w:val="0000EE"/>
            <w:u w:val="single"/>
          </w:rPr>
          <w:t>https://kpmg.com/xx/en/our-insights/operations/venture-pulse-q2-2024.html</w:t>
        </w:r>
      </w:hyperlink>
      <w:r>
        <w:t xml:space="preserve"> - Highlights the impact of AI on various sectors, including health and biotech, supply chain logistics, and fintech, which underscores the broad appeal of AI investments.</w:t>
      </w:r>
      <w:r/>
    </w:p>
    <w:p>
      <w:pPr>
        <w:pStyle w:val="ListNumber"/>
        <w:spacing w:line="240" w:lineRule="auto"/>
        <w:ind w:left="720"/>
      </w:pPr>
      <w:r/>
      <w:hyperlink r:id="rId11">
        <w:r>
          <w:rPr>
            <w:color w:val="0000EE"/>
            <w:u w:val="single"/>
          </w:rPr>
          <w:t>https://creti.org/news-and-insights/ai-powered-proptech-venture-capital-investment-trends-in-2024</w:t>
        </w:r>
      </w:hyperlink>
      <w:r>
        <w:t xml:space="preserve"> - Discusses the integration of sustainability goals with AI innovation, which is another area where AI is seeing significant investment and growth.</w:t>
      </w:r>
      <w:r/>
    </w:p>
    <w:p>
      <w:pPr>
        <w:pStyle w:val="ListNumber"/>
        <w:spacing w:line="240" w:lineRule="auto"/>
        <w:ind w:left="720"/>
      </w:pPr>
      <w:r/>
      <w:hyperlink r:id="rId12">
        <w:r>
          <w:rPr>
            <w:color w:val="0000EE"/>
            <w:u w:val="single"/>
          </w:rPr>
          <w:t>https://growthequityinterviewguide.com/trends-in-venture-capital</w:t>
        </w:r>
      </w:hyperlink>
      <w:r>
        <w:t xml:space="preserve"> - Mentions the challenges in climate tech investment and the resilience of AI-powered solutions, which supports the article's discussion on the disparities in funding for different types of startups.</w:t>
      </w:r>
      <w:r/>
    </w:p>
    <w:p>
      <w:pPr>
        <w:pStyle w:val="ListNumber"/>
        <w:spacing w:line="240" w:lineRule="auto"/>
        <w:ind w:left="720"/>
      </w:pPr>
      <w:r/>
      <w:hyperlink r:id="rId10">
        <w:r>
          <w:rPr>
            <w:color w:val="0000EE"/>
            <w:u w:val="single"/>
          </w:rPr>
          <w:t>https://kpmg.com/xx/en/our-insights/operations/venture-pulse-q2-2024.html</w:t>
        </w:r>
      </w:hyperlink>
      <w:r>
        <w:t xml:space="preserve"> - Provides insights into the valuation and funding challenges faced by non-AI companies, contrasting with the strong valuations of AI companies, which aligns with Hirsch's comments on valuation disparities.</w:t>
      </w:r>
      <w:r/>
    </w:p>
    <w:p>
      <w:pPr>
        <w:pStyle w:val="ListNumber"/>
        <w:spacing w:line="240" w:lineRule="auto"/>
        <w:ind w:left="720"/>
      </w:pPr>
      <w:r/>
      <w:hyperlink r:id="rId12">
        <w:r>
          <w:rPr>
            <w:color w:val="0000EE"/>
            <w:u w:val="single"/>
          </w:rPr>
          <w:t>https://growthequityinterviewguide.com/trends-in-venture-capital</w:t>
        </w:r>
      </w:hyperlink>
      <w:r>
        <w:t xml:space="preserve"> - Highlights the ongoing evolution in the venture capital landscape, including the adjustment period and the clean-up work needed, as mentioned by Hirsch.</w:t>
      </w:r>
      <w:r/>
    </w:p>
    <w:p>
      <w:pPr>
        <w:pStyle w:val="ListNumber"/>
        <w:spacing w:line="240" w:lineRule="auto"/>
        <w:ind w:left="720"/>
      </w:pPr>
      <w:r/>
      <w:hyperlink r:id="rId13">
        <w:r>
          <w:rPr>
            <w:color w:val="0000EE"/>
            <w:u w:val="single"/>
          </w:rPr>
          <w:t>https://techcrunch.com/2024/12/17/ai-boom-masks-fundraising-struggles-for-non-ai-startups/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pmg.com/xx/en/our-insights/operations/venture-pulse-q2-2024.html" TargetMode="External"/><Relationship Id="rId11" Type="http://schemas.openxmlformats.org/officeDocument/2006/relationships/hyperlink" Target="https://creti.org/news-and-insights/ai-powered-proptech-venture-capital-investment-trends-in-2024" TargetMode="External"/><Relationship Id="rId12" Type="http://schemas.openxmlformats.org/officeDocument/2006/relationships/hyperlink" Target="https://growthequityinterviewguide.com/trends-in-venture-capital" TargetMode="External"/><Relationship Id="rId13" Type="http://schemas.openxmlformats.org/officeDocument/2006/relationships/hyperlink" Target="https://techcrunch.com/2024/12/17/ai-boom-masks-fundraising-struggles-for-non-ai-startu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