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the accounting profession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the accounting profession is undergoing significant transformation, particularly regarding pricing strategies and sources of investment. According to the insights provided by Gale Crosley in CPA Trendlines, the impact of new technologies on businesses means that firms may need to reassess their value pricing models if they have yet to do so. </w:t>
      </w:r>
      <w:r/>
    </w:p>
    <w:p>
      <w:r/>
      <w:r>
        <w:t>The latest data from the 2024 Rosenberg National Survey of CPA Firm Statistics highlights that private equity (PE) interest in the accounting sector is set to continue its upward trajectory. With increasingly diverse PE organisations emerging, there is notable investment interest across various tiers of the market, from the highest to relatively smaller firms. Additionally, the involvement of family offices and Employee Stock Ownership Plan (ESOP) investment bankers and consultants is expanding the pool of potential equity capital sources for these firms.</w:t>
      </w:r>
      <w:r/>
    </w:p>
    <w:p>
      <w:r/>
      <w:r>
        <w:t>Crosley notes that the growing presence of private equity in the accounting profession will result in a deeper understanding of the operational nuances that differentiate corporate entities from CPA firms. This insight is expected to create new pressures on PE-backed firms, compelling them to implement more sophisticated performance strategies. A shift towards the adoption of corporate methodologies is anticipated, focusing on key areas such as firmwide pipeline processes, the establishment of professional sales organisations, and the creation of structured innovation processes reminiscent of product management in corporate settings.</w:t>
      </w:r>
      <w:r/>
    </w:p>
    <w:p>
      <w:r/>
      <w:r>
        <w:t>As the accounting landscape continues to evolve, firms will need to adapt both to the changing market dynamics and to the operational benchmarks being established by their corporate counterparts. The trends emphasised by Crosley reflect a significant movement towards more strategic, innovative approaches in the accounting profession, necessitating a reevaluation of existing practices and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https://cpatrendlines.com/shop/map-survey/</w:t>
        </w:r>
      </w:hyperlink>
      <w:r>
        <w:t xml:space="preserve"> - Corroborates the impact of new technologies on businesses and the need for firms to reassess their value pricing models.</w:t>
      </w:r>
      <w:r/>
    </w:p>
    <w:p>
      <w:pPr>
        <w:pStyle w:val="ListNumber"/>
        <w:spacing w:line="240" w:lineRule="auto"/>
        <w:ind w:left="720"/>
      </w:pPr>
      <w:r/>
      <w:hyperlink r:id="rId10">
        <w:r>
          <w:rPr>
            <w:color w:val="0000EE"/>
            <w:u w:val="single"/>
          </w:rPr>
          <w:t>https://cpatrendlines.com/shop/map-survey/</w:t>
        </w:r>
      </w:hyperlink>
      <w:r>
        <w:t xml:space="preserve"> - Provides data from the 2024 Rosenberg National Survey of CPA Firm Statistics on private equity interest in the accounting sector.</w:t>
      </w:r>
      <w:r/>
    </w:p>
    <w:p>
      <w:pPr>
        <w:pStyle w:val="ListNumber"/>
        <w:spacing w:line="240" w:lineRule="auto"/>
        <w:ind w:left="720"/>
      </w:pPr>
      <w:r/>
      <w:hyperlink r:id="rId10">
        <w:r>
          <w:rPr>
            <w:color w:val="0000EE"/>
            <w:u w:val="single"/>
          </w:rPr>
          <w:t>https://cpatrendlines.com/shop/map-survey/</w:t>
        </w:r>
      </w:hyperlink>
      <w:r>
        <w:t xml:space="preserve"> - Highlights the growing presence of private equity and its influence on firm valuation and market consolidation.</w:t>
      </w:r>
      <w:r/>
    </w:p>
    <w:p>
      <w:pPr>
        <w:pStyle w:val="ListNumber"/>
        <w:spacing w:line="240" w:lineRule="auto"/>
        <w:ind w:left="720"/>
      </w:pPr>
      <w:r/>
      <w:hyperlink r:id="rId10">
        <w:r>
          <w:rPr>
            <w:color w:val="0000EE"/>
            <w:u w:val="single"/>
          </w:rPr>
          <w:t>https://cpatrendlines.com/shop/map-survey/</w:t>
        </w:r>
      </w:hyperlink>
      <w:r>
        <w:t xml:space="preserve"> - Discusses the involvement of family offices and ESOP investment bankers and consultants as sources of equity capital.</w:t>
      </w:r>
      <w:r/>
    </w:p>
    <w:p>
      <w:pPr>
        <w:pStyle w:val="ListNumber"/>
        <w:spacing w:line="240" w:lineRule="auto"/>
        <w:ind w:left="720"/>
      </w:pPr>
      <w:r/>
      <w:hyperlink r:id="rId11">
        <w:r>
          <w:rPr>
            <w:color w:val="0000EE"/>
            <w:u w:val="single"/>
          </w:rPr>
          <w:t>https://cpatrendlines.com</w:t>
        </w:r>
      </w:hyperlink>
      <w:r>
        <w:t xml:space="preserve"> - Supports Gale Crosley's insights on the impact of new technologies and the need for value pricing adjustments.</w:t>
      </w:r>
      <w:r/>
    </w:p>
    <w:p>
      <w:pPr>
        <w:pStyle w:val="ListNumber"/>
        <w:spacing w:line="240" w:lineRule="auto"/>
        <w:ind w:left="720"/>
      </w:pPr>
      <w:r/>
      <w:hyperlink r:id="rId12">
        <w:r>
          <w:rPr>
            <w:color w:val="0000EE"/>
            <w:u w:val="single"/>
          </w:rPr>
          <w:t>https://rosenbergsurvey.com</w:t>
        </w:r>
      </w:hyperlink>
      <w:r>
        <w:t xml:space="preserve"> - Provides details on the 2024 Rosenberg Survey, including its focus on private equity and operational metrics.</w:t>
      </w:r>
      <w:r/>
    </w:p>
    <w:p>
      <w:pPr>
        <w:pStyle w:val="ListNumber"/>
        <w:spacing w:line="240" w:lineRule="auto"/>
        <w:ind w:left="720"/>
      </w:pPr>
      <w:r/>
      <w:hyperlink r:id="rId12">
        <w:r>
          <w:rPr>
            <w:color w:val="0000EE"/>
            <w:u w:val="single"/>
          </w:rPr>
          <w:t>https://rosenbergsurvey.com</w:t>
        </w:r>
      </w:hyperlink>
      <w:r>
        <w:t xml:space="preserve"> - Corroborates the survey's findings on private equity investments and their impact on CPA firms.</w:t>
      </w:r>
      <w:r/>
    </w:p>
    <w:p>
      <w:pPr>
        <w:pStyle w:val="ListNumber"/>
        <w:spacing w:line="240" w:lineRule="auto"/>
        <w:ind w:left="720"/>
      </w:pPr>
      <w:r/>
      <w:hyperlink r:id="rId10">
        <w:r>
          <w:rPr>
            <w:color w:val="0000EE"/>
            <w:u w:val="single"/>
          </w:rPr>
          <w:t>https://cpatrendlines.com/shop/map-survey/</w:t>
        </w:r>
      </w:hyperlink>
      <w:r>
        <w:t xml:space="preserve"> - Highlights the need for CPA firms to adopt more sophisticated performance strategies due to private equity involvement.</w:t>
      </w:r>
      <w:r/>
    </w:p>
    <w:p>
      <w:pPr>
        <w:pStyle w:val="ListNumber"/>
        <w:spacing w:line="240" w:lineRule="auto"/>
        <w:ind w:left="720"/>
      </w:pPr>
      <w:r/>
      <w:hyperlink r:id="rId10">
        <w:r>
          <w:rPr>
            <w:color w:val="0000EE"/>
            <w:u w:val="single"/>
          </w:rPr>
          <w:t>https://cpatrendlines.com/shop/map-survey/</w:t>
        </w:r>
      </w:hyperlink>
      <w:r>
        <w:t xml:space="preserve"> - Discusses the shift towards corporate methodologies, including firmwide pipeline processes and professional sales organisations.</w:t>
      </w:r>
      <w:r/>
    </w:p>
    <w:p>
      <w:pPr>
        <w:pStyle w:val="ListNumber"/>
        <w:spacing w:line="240" w:lineRule="auto"/>
        <w:ind w:left="720"/>
      </w:pPr>
      <w:r/>
      <w:hyperlink r:id="rId12">
        <w:r>
          <w:rPr>
            <w:color w:val="0000EE"/>
            <w:u w:val="single"/>
          </w:rPr>
          <w:t>https://rosenbergsurvey.com</w:t>
        </w:r>
      </w:hyperlink>
      <w:r>
        <w:t xml:space="preserve"> - Supports the trend towards more strategic and innovative approaches in the accounting profession as reflected in the survey's findings.</w:t>
      </w:r>
      <w:r/>
    </w:p>
    <w:p>
      <w:pPr>
        <w:pStyle w:val="ListNumber"/>
        <w:spacing w:line="240" w:lineRule="auto"/>
        <w:ind w:left="720"/>
      </w:pPr>
      <w:r/>
      <w:hyperlink r:id="rId13">
        <w:r>
          <w:rPr>
            <w:color w:val="0000EE"/>
            <w:u w:val="single"/>
          </w:rPr>
          <w:t>https://cpatrendlines.com/2024/12/17/challenges-for-the-accounting-profession-private-equity-offshoring-training-new-hires/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atrendlines.com/shop/map-survey/" TargetMode="External"/><Relationship Id="rId11" Type="http://schemas.openxmlformats.org/officeDocument/2006/relationships/hyperlink" Target="https://cpatrendlines.com" TargetMode="External"/><Relationship Id="rId12" Type="http://schemas.openxmlformats.org/officeDocument/2006/relationships/hyperlink" Target="https://rosenbergsurvey.com" TargetMode="External"/><Relationship Id="rId13" Type="http://schemas.openxmlformats.org/officeDocument/2006/relationships/hyperlink" Target="https://cpatrendlines.com/2024/12/17/challenges-for-the-accounting-profession-private-equity-offshoring-training-new-hi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