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Aethir and Injective partner to democratise GPU resource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Aethir and Injective are collaborating on a partnership aimed at transforming the computing resource market through innovative tokenisation strategies. This partnership seeks to democratise access to Graphics Processing Unit (GPU) resources, catering specifically to the evolving demands of artificial intelligence (AI) and blockchain technology.</w:t>
      </w:r>
      <w:r/>
    </w:p>
    <w:p>
      <w:r/>
      <w:r>
        <w:t>Aethir, renowned for providing high-performance computing (HPC) infrastructure, is increasingly significant in an era where the need for blockchain applications and AI operations is reaching unprecedented levels. Injective, on the other hand, is a sophisticated decentralised exchange (DEX) platform catering to decentralised applications (dApps). It boasts compatibility with the Inter-Blockchain Communication (IBC) protocol, as well as other prominent networks such as Ethereum and Solana. The platform’s features include a decentralised on-chain order book, binary options, real-world assets (RWAs), and an automated smart contract structure.</w:t>
      </w:r>
      <w:r/>
    </w:p>
    <w:p>
      <w:r/>
      <w:r>
        <w:t>The partnership between Aethir and Injective is positioned as a response to the rising demand for computing power within the tech landscape. One of its primary objectives is to create fractional ownership of computing resources, allowing users to make more strategic allocations of their development budgets. By enabling the purchase of computing resources in smaller, more precise denominations, customers can optimise their investments in AI and blockchain initiatives.</w:t>
      </w:r>
      <w:r/>
    </w:p>
    <w:p>
      <w:r/>
      <w:r>
        <w:t>In addition to fractional ownership, their collaboration presents multiple features tailored for users. These include:</w:t>
      </w:r>
      <w:r/>
      <w:r/>
    </w:p>
    <w:p>
      <w:pPr>
        <w:pStyle w:val="ListBullet"/>
        <w:spacing w:line="240" w:lineRule="auto"/>
        <w:ind w:left="720"/>
      </w:pPr>
      <w:r/>
      <w:r>
        <w:t>Instant Utility and Composability: The ability to seamlessly integrate tokenised computing resources into various applications. This encompasses on-chain lending and perpetual markets on the Injective platform.</w:t>
      </w:r>
      <w:r/>
    </w:p>
    <w:p>
      <w:pPr>
        <w:pStyle w:val="ListBullet"/>
        <w:spacing w:line="240" w:lineRule="auto"/>
        <w:ind w:left="720"/>
      </w:pPr>
      <w:r/>
      <w:r>
        <w:t>Real-time Resource Trading: Users will benefit from natural pricing mechanisms, where computing power can be bought, sold, or leased based on immediate market demand.</w:t>
      </w:r>
      <w:r/>
    </w:p>
    <w:p>
      <w:pPr>
        <w:pStyle w:val="ListBullet"/>
        <w:spacing w:line="240" w:lineRule="auto"/>
        <w:ind w:left="720"/>
      </w:pPr>
      <w:r/>
      <w:r>
        <w:t>Smart Contract Integration: The partnership will facilitate automated transactions, enhancing the efficiency, transparency, and security of exchanges involving GPU resources.</w:t>
      </w:r>
      <w:r/>
    </w:p>
    <w:p>
      <w:pPr>
        <w:pStyle w:val="ListBullet"/>
        <w:spacing w:line="240" w:lineRule="auto"/>
        <w:ind w:left="720"/>
      </w:pPr>
      <w:r/>
      <w:r>
        <w:t>Global Accessibility: By addressing geographical barriers, Aethir and Injective aim to provide worldwide access to high-performance computing resources.</w:t>
      </w:r>
      <w:r/>
      <w:r/>
    </w:p>
    <w:p>
      <w:r/>
      <w:r>
        <w:t xml:space="preserve">The implications of this partnership are substantial, particularly in light of the growing momentum within the blockchain and AI sectors. However, the realisation of these goals will hinge on the development dynamics of the partnership, the practical implementation of their proposed features, and the sustained demand for substantial computing power in the marketplace. </w:t>
      </w:r>
      <w:r/>
    </w:p>
    <w:p>
      <w:r/>
      <w:r>
        <w:t>As both companies continue to streamline their offerings, they hold the potential to significantly influence the landscape of computing resources available for AI innovation and blockchain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https://blog.injective.com/en/injective-and-aethir-join-forces-to-pioneer-tokenized-gpu-compute/</w:t>
        </w:r>
      </w:hyperlink>
      <w:r>
        <w:t xml:space="preserve"> - Corroborates the partnership between Aethir and Injective, the tokenization of GPU compute resources, and the features of their collaboration, including fractional ownership, instant utility, real-time resource trading, and smart contract integration.</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Provides details on Aethir's high-performance computing infrastructure, including the number of GPUs and Edge devices, and Injective's platform capabilities, such as on-chain trading and lending.</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Explains the significance of the partnership in democratizing access to GPU resources for AI and blockchain applications.</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Describes the global accessibility and the addressing of geographical barriers in providing high-performance computing resources.</w:t>
      </w:r>
      <w:r/>
    </w:p>
    <w:p>
      <w:pPr>
        <w:pStyle w:val="ListNumber"/>
        <w:spacing w:line="240" w:lineRule="auto"/>
        <w:ind w:left="720"/>
      </w:pPr>
      <w:r/>
      <w:hyperlink r:id="rId11">
        <w:r>
          <w:rPr>
            <w:color w:val="0000EE"/>
            <w:u w:val="single"/>
          </w:rPr>
          <w:t>https://ecosystem.aethir.com</w:t>
        </w:r>
      </w:hyperlink>
      <w:r>
        <w:t xml:space="preserve"> - Supports Aethir's role in providing advanced compute capabilities and its partnerships in empowering developers and creators in various sectors.</w:t>
      </w:r>
      <w:r/>
    </w:p>
    <w:p>
      <w:pPr>
        <w:pStyle w:val="ListNumber"/>
        <w:spacing w:line="240" w:lineRule="auto"/>
        <w:ind w:left="720"/>
      </w:pPr>
      <w:r/>
      <w:hyperlink r:id="rId11">
        <w:r>
          <w:rPr>
            <w:color w:val="0000EE"/>
            <w:u w:val="single"/>
          </w:rPr>
          <w:t>https://ecosystem.aethir.com</w:t>
        </w:r>
      </w:hyperlink>
      <w:r>
        <w:t xml:space="preserve"> - Highlights Aethir's decentralized cloud technology and its impact on gaming, web3, and other industries, aligning with the global accessibility goal.</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Details Injective's platform features, including compatibility with IBC protocol, Ethereum, and Solana, as well as its decentralised on-chain order book and real-world assets.</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Explains the instant utility and composability of tokenized computing resources, including on-chain lending and perpetual markets on the Injective platform.</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Discusses the smart contract integration and automated transactions facilitated by the partnership, enhancing efficiency, transparency, and security.</w:t>
      </w:r>
      <w:r/>
    </w:p>
    <w:p>
      <w:pPr>
        <w:pStyle w:val="ListNumber"/>
        <w:spacing w:line="240" w:lineRule="auto"/>
        <w:ind w:left="720"/>
      </w:pPr>
      <w:r/>
      <w:hyperlink r:id="rId10">
        <w:r>
          <w:rPr>
            <w:color w:val="0000EE"/>
            <w:u w:val="single"/>
          </w:rPr>
          <w:t>https://blog.injective.com/en/injective-and-aethir-join-forces-to-pioneer-tokenized-gpu-compute/</w:t>
        </w:r>
      </w:hyperlink>
      <w:r>
        <w:t xml:space="preserve"> - Addresses the implications of the partnership on the blockchain and AI sectors, including the potential influence on the computing resource landscape.</w:t>
      </w:r>
      <w:r/>
    </w:p>
    <w:p>
      <w:pPr>
        <w:pStyle w:val="ListNumber"/>
        <w:spacing w:line="240" w:lineRule="auto"/>
        <w:ind w:left="720"/>
      </w:pPr>
      <w:r/>
      <w:hyperlink r:id="rId12">
        <w:r>
          <w:rPr>
            <w:color w:val="0000EE"/>
            <w:u w:val="single"/>
          </w:rPr>
          <w:t>https://www.bitcoininsider.org/article/265873/democratization-and-tokenization-ai-computing-aethir-and-injective-partnership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injective.com/en/injective-and-aethir-join-forces-to-pioneer-tokenized-gpu-compute/" TargetMode="External"/><Relationship Id="rId11" Type="http://schemas.openxmlformats.org/officeDocument/2006/relationships/hyperlink" Target="https://ecosystem.aethir.com" TargetMode="External"/><Relationship Id="rId12" Type="http://schemas.openxmlformats.org/officeDocument/2006/relationships/hyperlink" Target="https://www.bitcoininsider.org/article/265873/democratization-and-tokenization-ai-computing-aethir-and-injective-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