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poised for pivotal changes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is poised for pivotal changes in 2025, according to insights provided by the Financial Times. While 2024 lacked any breakthrough comparable to the initial impact of ChatGPT, it witnessed continued advancements in AI technology. Key industry players are now scrutinising the trajectory of AI development, raising questions about sustainability and innovation in the sector.</w:t>
      </w:r>
      <w:r/>
    </w:p>
    <w:p>
      <w:r/>
      <w:r>
        <w:t>Recent trends indicate that the momentum behind AI growth may begin to wane. Prominent experts within the technology field have noted that the long-standing method of enhancing AI systems through increased data and computational power now appears to be yielding diminishing returns. This shift could hinder AI's ability to rely on traditional avenues of improvement in the long run. However, the financial publication optimistically reports that there remain significant advancements in development that could compensate for this slowdown in the upcoming year.</w:t>
      </w:r>
      <w:r/>
    </w:p>
    <w:p>
      <w:r/>
      <w:r>
        <w:t>Emerging technologies are expected to focus on enhanced model functionalities, where AI systems will process multiple steps before arriving at a conclusive answer. This method, which allows for querying and refining initial outputs in pursuit of more reasoned results, could set a new standard for AI interactions. OpenAI’s newly revealed model, known as o3, is cited as a noteworthy innovation, suggesting a potential move towards more sophisticated reasoning capabilities.</w:t>
      </w:r>
      <w:r/>
    </w:p>
    <w:p>
      <w:r/>
      <w:r>
        <w:t>The Financial Times also highlights Google's resurgence in AI innovation, noting the company's recent exhibition of new agent-like features capable of enhancing user experiences by tracking activities in web browsers and autonomously completing tasks. Although these demonstrations showcase promising developments, the transition from lab prototypes to commercially viable products remains a challenge.</w:t>
      </w:r>
      <w:r/>
    </w:p>
    <w:p>
      <w:r/>
      <w:r>
        <w:t>Questions persist regarding the emergence of a "killer app" for AI. While generative AI has introduced functionalities that enhance everyday tasks, the sector appears to be heading towards applications that could significantly alter users' interactions with technology. Industry observers predict that 2025 may present the first glimpses of more dynamic apps that learn and adapt based on individual user behaviour, operating as digital memory assistants or undertaking tasks on behalf of users. However, concerns regarding the reliability of these technologies could impede their mass adoption, resulting in an environment where AI remains an integrated but cautious part of daily life.</w:t>
      </w:r>
      <w:r/>
    </w:p>
    <w:p>
      <w:r/>
      <w:r>
        <w:t>In the realm of hardware, Nvidia continues to dominate the AI chip market, despite increasing competition from companies developing alternative in-house solutions. The chipmaker's substantial profits and swift advancement, particularly through its Blackwell product cycles, position it favourably in the short term. Yet, competitors like Broadcom are also making strategic moves, planning to supply massive supercomputing clusters comprising millions of chips by 2027.</w:t>
      </w:r>
      <w:r/>
    </w:p>
    <w:p>
      <w:r/>
      <w:r>
        <w:t>Moreover, the financial implications of the AI boom are under close examination. As major technology firms engage in an AI arms race, capital investment within the sector remains robust. Companies are eagerly investing in AI capabilities, often driven by perceived competitive pressures, despite potential uncertainties regarding their practical applications.</w:t>
      </w:r>
      <w:r/>
    </w:p>
    <w:p>
      <w:r/>
      <w:r>
        <w:t>Investor confidence surrounding AI's future will likely be influenced by the broader economic landscape, including the fiscal policies of the incoming Trump administration and the Federal Reserve’s monetary policies. The combination of liquidity in the markets and sustained interest in AI technologies may result in a volatile financial year ahead, whereby the hype surrounding AI continues to fuel speculative investments.</w:t>
      </w:r>
      <w:r/>
    </w:p>
    <w:p>
      <w:r/>
      <w:r>
        <w:t>In summary, while the expectations for AI in 2025 reflect optimism amid a backdrop of potential challenges, the industry's trajectory will heavily depend on technological innovations, market dynamics, and wider economic factors. This anticipation creates an evolving narrative that will unfold over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https://www.kainos.com/insights/articles/11-predictions-for-ai-in-2025</w:t>
        </w:r>
      </w:hyperlink>
      <w:r>
        <w:t xml:space="preserve"> - Corroborates the advancements in AI technologies, such as natural language processing and generative networks, and predicts practical innovations and strategic applications of AI in 2025.</w:t>
      </w:r>
      <w:r/>
    </w:p>
    <w:p>
      <w:pPr>
        <w:pStyle w:val="ListNumber"/>
        <w:spacing w:line="240" w:lineRule="auto"/>
        <w:ind w:left="720"/>
      </w:pPr>
      <w:r/>
      <w:hyperlink r:id="rId11">
        <w:r>
          <w:rPr>
            <w:color w:val="0000EE"/>
            <w:u w:val="single"/>
          </w:rPr>
          <w:t>https://radical.vc/10-ai-predictions-for-2025/</w:t>
        </w:r>
      </w:hyperlink>
      <w:r>
        <w:t xml:space="preserve"> - Supports the prediction of emerging technologies focusing on enhanced model functionalities and the potential for AI systems to autonomously build better AI systems in 2025.</w:t>
      </w:r>
      <w:r/>
    </w:p>
    <w:p>
      <w:pPr>
        <w:pStyle w:val="ListNumber"/>
        <w:spacing w:line="240" w:lineRule="auto"/>
        <w:ind w:left="720"/>
      </w:pPr>
      <w:r/>
      <w:hyperlink r:id="rId11">
        <w:r>
          <w:rPr>
            <w:color w:val="0000EE"/>
            <w:u w:val="single"/>
          </w:rPr>
          <w:t>https://radical.vc/10-ai-predictions-for-2025/</w:t>
        </w:r>
      </w:hyperlink>
      <w:r>
        <w:t xml:space="preserve"> - Highlights the expectation of web agents going mainstream and the shift of OpenAI and other labs towards building more sophisticated applications in 2025.</w:t>
      </w:r>
      <w:r/>
    </w:p>
    <w:p>
      <w:pPr>
        <w:pStyle w:val="ListNumber"/>
        <w:spacing w:line="240" w:lineRule="auto"/>
        <w:ind w:left="720"/>
      </w:pPr>
      <w:r/>
      <w:hyperlink r:id="rId10">
        <w:r>
          <w:rPr>
            <w:color w:val="0000EE"/>
            <w:u w:val="single"/>
          </w:rPr>
          <w:t>https://www.kainos.com/insights/articles/11-predictions-for-ai-in-2025</w:t>
        </w:r>
      </w:hyperlink>
      <w:r>
        <w:t xml:space="preserve"> - Discusses the potential for AI to become a strategic thinker, going beyond automating tasks to reasoning and understanding the impact of its decisions.</w:t>
      </w:r>
      <w:r/>
    </w:p>
    <w:p>
      <w:pPr>
        <w:pStyle w:val="ListNumber"/>
        <w:spacing w:line="240" w:lineRule="auto"/>
        <w:ind w:left="720"/>
      </w:pPr>
      <w:r/>
      <w:hyperlink r:id="rId11">
        <w:r>
          <w:rPr>
            <w:color w:val="0000EE"/>
            <w:u w:val="single"/>
          </w:rPr>
          <w:t>https://radical.vc/10-ai-predictions-for-2025/</w:t>
        </w:r>
      </w:hyperlink>
      <w:r>
        <w:t xml:space="preserve"> - Mentions the possibility of AI data centers in space and the first real AI safety incident, reflecting concerns about the reliability and safety of AI technologies.</w:t>
      </w:r>
      <w:r/>
    </w:p>
    <w:p>
      <w:pPr>
        <w:pStyle w:val="ListNumber"/>
        <w:spacing w:line="240" w:lineRule="auto"/>
        <w:ind w:left="720"/>
      </w:pPr>
      <w:r/>
      <w:hyperlink r:id="rId10">
        <w:r>
          <w:rPr>
            <w:color w:val="0000EE"/>
            <w:u w:val="single"/>
          </w:rPr>
          <w:t>https://www.kainos.com/insights/articles/11-predictions-for-ai-in-2025</w:t>
        </w:r>
      </w:hyperlink>
      <w:r>
        <w:t xml:space="preserve"> - Predicts the growth of generative AI and its impact on various industries such as entertainment, healthcare, marketing, and design.</w:t>
      </w:r>
      <w:r/>
    </w:p>
    <w:p>
      <w:pPr>
        <w:pStyle w:val="ListNumber"/>
        <w:spacing w:line="240" w:lineRule="auto"/>
        <w:ind w:left="720"/>
      </w:pPr>
      <w:r/>
      <w:hyperlink r:id="rId11">
        <w:r>
          <w:rPr>
            <w:color w:val="0000EE"/>
            <w:u w:val="single"/>
          </w:rPr>
          <w:t>https://radical.vc/10-ai-predictions-for-2025/</w:t>
        </w:r>
      </w:hyperlink>
      <w:r>
        <w:t xml:space="preserve"> - Notes the financial implications and investor confidence in AI, including the potential for Meta to charge for the use of its Llama models.</w:t>
      </w:r>
      <w:r/>
    </w:p>
    <w:p>
      <w:pPr>
        <w:pStyle w:val="ListNumber"/>
        <w:spacing w:line="240" w:lineRule="auto"/>
        <w:ind w:left="720"/>
      </w:pPr>
      <w:r/>
      <w:hyperlink r:id="rId10">
        <w:r>
          <w:rPr>
            <w:color w:val="0000EE"/>
            <w:u w:val="single"/>
          </w:rPr>
          <w:t>https://www.kainos.com/insights/articles/11-predictions-for-ai-in-2025</w:t>
        </w:r>
      </w:hyperlink>
      <w:r>
        <w:t xml:space="preserve"> - Addresses the issue of diminishing returns from traditional methods of enhancing AI systems through increased data and computational power.</w:t>
      </w:r>
      <w:r/>
    </w:p>
    <w:p>
      <w:pPr>
        <w:pStyle w:val="ListNumber"/>
        <w:spacing w:line="240" w:lineRule="auto"/>
        <w:ind w:left="720"/>
      </w:pPr>
      <w:r/>
      <w:hyperlink r:id="rId11">
        <w:r>
          <w:rPr>
            <w:color w:val="0000EE"/>
            <w:u w:val="single"/>
          </w:rPr>
          <w:t>https://radical.vc/10-ai-predictions-for-2025/</w:t>
        </w:r>
      </w:hyperlink>
      <w:r>
        <w:t xml:space="preserve"> - Discusses the role of major technology firms in the AI arms race and the robust capital investment in AI capabilities despite uncertainties.</w:t>
      </w:r>
      <w:r/>
    </w:p>
    <w:p>
      <w:pPr>
        <w:pStyle w:val="ListNumber"/>
        <w:spacing w:line="240" w:lineRule="auto"/>
        <w:ind w:left="720"/>
      </w:pPr>
      <w:r/>
      <w:hyperlink r:id="rId10">
        <w:r>
          <w:rPr>
            <w:color w:val="0000EE"/>
            <w:u w:val="single"/>
          </w:rPr>
          <w:t>https://www.kainos.com/insights/articles/11-predictions-for-ai-in-2025</w:t>
        </w:r>
      </w:hyperlink>
      <w:r>
        <w:t xml:space="preserve"> - Highlights the importance of a strategic approach to AI adoption, especially in the public sector, to achieve better decision-making and policy implementation.</w:t>
      </w:r>
      <w:r/>
    </w:p>
    <w:p>
      <w:pPr>
        <w:pStyle w:val="ListNumber"/>
        <w:spacing w:line="240" w:lineRule="auto"/>
        <w:ind w:left="720"/>
      </w:pPr>
      <w:r/>
      <w:hyperlink r:id="rId11">
        <w:r>
          <w:rPr>
            <w:color w:val="0000EE"/>
            <w:u w:val="single"/>
          </w:rPr>
          <w:t>https://radical.vc/10-ai-predictions-for-2025/</w:t>
        </w:r>
      </w:hyperlink>
      <w:r>
        <w:t xml:space="preserve"> - Mentions the broader economic landscape, including fiscal policies and monetary policies, influencing investor confidence in AI's future.</w:t>
      </w:r>
      <w:r/>
    </w:p>
    <w:p>
      <w:pPr>
        <w:pStyle w:val="ListNumber"/>
        <w:spacing w:line="240" w:lineRule="auto"/>
        <w:ind w:left="720"/>
      </w:pPr>
      <w:r/>
      <w:hyperlink r:id="rId12">
        <w:r>
          <w:rPr>
            <w:color w:val="0000EE"/>
            <w:u w:val="single"/>
          </w:rPr>
          <w:t>https://www.ft.com/content/9978baaf-1f48-4e2c-bcfc-dc34d48e6e4c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inos.com/insights/articles/11-predictions-for-ai-in-2025" TargetMode="External"/><Relationship Id="rId11" Type="http://schemas.openxmlformats.org/officeDocument/2006/relationships/hyperlink" Target="https://radical.vc/10-ai-predictions-for-2025/" TargetMode="External"/><Relationship Id="rId12" Type="http://schemas.openxmlformats.org/officeDocument/2006/relationships/hyperlink" Target="https://www.ft.com/content/9978baaf-1f48-4e2c-bcfc-dc34d48e6e4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