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Investment trends in the cryptocurrency industry for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2024, investment trends within the cryptocurrency industry have shown a significant volume of activity, with a total of 979 recorded investment and financing cases. According to statistics from Foresight Wiki, these cases encompass various sectors, including tools and infrastructure, decentralised finance (DeFi), asset management, and blockchain-based games and non-fungible tokens (NFTs), amounting to an aggregate disclosed investment of approximately $11.583 billion. Notably, while the total investment amount has remained stable compared to the previous year, the DeFi sector has experienced a considerable rise, with a year-on-year financing increase of 37%.</w:t>
      </w:r>
      <w:r/>
    </w:p>
    <w:p>
      <w:r/>
      <w:r>
        <w:t>Prominent investments in the industry included 17 financing cases that surpassed the $100 million mark, notably with six projects linked to the artificial intelligence (AI) sector. Among these noteworthy projects was Elon Musk’s AI enterprise, xAI, which secured an impressive $5 billion in funding, bringing its valuation to approximately $45 billion. The mixed reality company, Magic Leap, also attracted significant investment, receiving $590 million from the Saudi Arabian Public Investment Fund as it prepares to venture into the metaverse.</w:t>
      </w:r>
      <w:r/>
    </w:p>
    <w:p>
      <w:r/>
      <w:r>
        <w:t>Another significant contributor to this year’s funding landscape is the “Network State” initiative, Praxis. The project, designed to be an internet-native alliance intended to promote technological advancement while revitalising Western civilization, recently announced a successful completion of $525 million in financing, featuring major investors like GEM Digital. Additionally, Monad Labs, which focuses on enhancing the Ethereum Virtual Machine’s throughput through advanced technology, raised $225 million.</w:t>
      </w:r>
      <w:r/>
    </w:p>
    <w:p>
      <w:r/>
      <w:r>
        <w:t>Blockstream, a company dedicated to Bitcoin infrastructure development, completed $210 million in convertible note financing led by Fulgur Ventures, aiming to boost adoption and growth of its Layer2 technology. Furthermore, the decentralised social protocol, Farcaster, secured $150 million in financing led by Paradigm, focusing on expanding user engagement and developer tools for their platform.</w:t>
      </w:r>
      <w:r/>
    </w:p>
    <w:p>
      <w:r/>
      <w:r>
        <w:t>The year saw 100 financing cases in the tens of millions, with a variety of projects also clinching substantial funding. The on-chain IP protocol, Story, represented by PIP Labs, obtained $80 million in Series B financing, led by a16z Crypto. Other substantial investments included the release of $70 million for the Bitcoin staking protocol Babylon and $50 million for modular blockchain Eclipse, which launched its mainnet this year.</w:t>
      </w:r>
      <w:r/>
    </w:p>
    <w:p>
      <w:r/>
      <w:r>
        <w:t>Institutional investment is also prolific, with prominent players in the field making numerous contributions. OKX Ventures led the way with 50 disclosed investments, including multiple projects valued in the tens of millions. Similarly, Animoca Brands followed closely behind with 48 investments, while Polychain Capital and Foresight Ventures also showcased robust investment activity. The venture capital firm a16z notably participated in 35 investment cases, underlining the growing integration of traditional venture financing with the evolving cryptocurrency landscape.</w:t>
      </w:r>
      <w:r/>
    </w:p>
    <w:p>
      <w:r/>
      <w:r>
        <w:t>As cryptocurrency continues to expand, the establishment of 23 cryptocurrency funds this year indicates an ongoing interest from investors to diversify into this segment. The current state of investment within the cryptocurrency sector reflects a dynamic interplay of technology and capital, suggesting that as market conditions evolve, so too will the innovations and financial backing that surround this digital economy.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https://www.chaincatcher.com/en/article/2159280</w:t>
        </w:r>
      </w:hyperlink>
      <w:r>
        <w:t xml:space="preserve"> - Corroborates the total number of investment and financing cases in the cryptocurrency industry in 2024, including the sectors involved and the total disclosed investment amount.</w:t>
      </w:r>
      <w:r/>
    </w:p>
    <w:p>
      <w:pPr>
        <w:pStyle w:val="ListNumber"/>
        <w:spacing w:line="240" w:lineRule="auto"/>
        <w:ind w:left="720"/>
      </w:pPr>
      <w:r/>
      <w:hyperlink r:id="rId10">
        <w:r>
          <w:rPr>
            <w:color w:val="0000EE"/>
            <w:u w:val="single"/>
          </w:rPr>
          <w:t>https://www.chaincatcher.com/en/article/2159280</w:t>
        </w:r>
      </w:hyperlink>
      <w:r>
        <w:t xml:space="preserve"> - Supports the information on the significant rise in DeFi sector financing and the 17 financing cases exceeding $100 million, including those in the AI sector.</w:t>
      </w:r>
      <w:r/>
    </w:p>
    <w:p>
      <w:pPr>
        <w:pStyle w:val="ListNumber"/>
        <w:spacing w:line="240" w:lineRule="auto"/>
        <w:ind w:left="720"/>
      </w:pPr>
      <w:r/>
      <w:hyperlink r:id="rId10">
        <w:r>
          <w:rPr>
            <w:color w:val="0000EE"/>
            <w:u w:val="single"/>
          </w:rPr>
          <w:t>https://www.chaincatcher.com/en/article/2159280</w:t>
        </w:r>
      </w:hyperlink>
      <w:r>
        <w:t xml:space="preserve"> - Details the financing cases for Blockstream, Farcaster, and other notable projects, including their investment amounts and goals.</w:t>
      </w:r>
      <w:r/>
    </w:p>
    <w:p>
      <w:pPr>
        <w:pStyle w:val="ListNumber"/>
        <w:spacing w:line="240" w:lineRule="auto"/>
        <w:ind w:left="720"/>
      </w:pPr>
      <w:r/>
      <w:hyperlink r:id="rId10">
        <w:r>
          <w:rPr>
            <w:color w:val="0000EE"/>
            <w:u w:val="single"/>
          </w:rPr>
          <w:t>https://www.chaincatcher.com/en/article/2159280</w:t>
        </w:r>
      </w:hyperlink>
      <w:r>
        <w:t xml:space="preserve"> - Lists the institutional investors and their investment activities, such as OKX Ventures, Animoca Brands, Polychain Capital, and Foresight Ventures.</w:t>
      </w:r>
      <w:r/>
    </w:p>
    <w:p>
      <w:pPr>
        <w:pStyle w:val="ListNumber"/>
        <w:spacing w:line="240" w:lineRule="auto"/>
        <w:ind w:left="720"/>
      </w:pPr>
      <w:r/>
      <w:hyperlink r:id="rId10">
        <w:r>
          <w:rPr>
            <w:color w:val="0000EE"/>
            <w:u w:val="single"/>
          </w:rPr>
          <w:t>https://www.chaincatcher.com/en/article/2159280</w:t>
        </w:r>
      </w:hyperlink>
      <w:r>
        <w:t xml:space="preserve"> - Mentions the participation of a16z in multiple investment cases and the establishment of various funds in the cryptocurrency sector.</w:t>
      </w:r>
      <w:r/>
    </w:p>
    <w:p>
      <w:pPr>
        <w:pStyle w:val="ListNumber"/>
        <w:spacing w:line="240" w:lineRule="auto"/>
        <w:ind w:left="720"/>
      </w:pPr>
      <w:r/>
      <w:hyperlink r:id="rId10">
        <w:r>
          <w:rPr>
            <w:color w:val="0000EE"/>
            <w:u w:val="single"/>
          </w:rPr>
          <w:t>https://www.chaincatcher.com/en/article/2159280</w:t>
        </w:r>
      </w:hyperlink>
      <w:r>
        <w:t xml:space="preserve"> - Provides details on other substantial investments, including those for on-chain IP protocol Story, Bitcoin staking protocol Babylon, and modular blockchain Eclipse.</w:t>
      </w:r>
      <w:r/>
    </w:p>
    <w:p>
      <w:pPr>
        <w:pStyle w:val="ListNumber"/>
        <w:spacing w:line="240" w:lineRule="auto"/>
        <w:ind w:left="720"/>
      </w:pPr>
      <w:r/>
      <w:hyperlink r:id="rId11">
        <w:r>
          <w:rPr>
            <w:color w:val="0000EE"/>
            <w:u w:val="single"/>
          </w:rPr>
          <w:t>https://n26.com/en-es/blog/biggest-crypto-trends-2024</w:t>
        </w:r>
      </w:hyperlink>
      <w:r>
        <w:t xml:space="preserve"> - Supports the trend of AI integration in the blockchain and cryptocurrency industry in 2024.</w:t>
      </w:r>
      <w:r/>
    </w:p>
    <w:p>
      <w:pPr>
        <w:pStyle w:val="ListNumber"/>
        <w:spacing w:line="240" w:lineRule="auto"/>
        <w:ind w:left="720"/>
      </w:pPr>
      <w:r/>
      <w:hyperlink r:id="rId10">
        <w:r>
          <w:rPr>
            <w:color w:val="0000EE"/>
            <w:u w:val="single"/>
          </w:rPr>
          <w:t>https://www.chaincatcher.com/en/article/2159280</w:t>
        </w:r>
      </w:hyperlink>
      <w:r>
        <w:t xml:space="preserve"> - Corroborates the financing details for Public, ParaFi Capital, Figure Technologies, and Partior, among others.</w:t>
      </w:r>
      <w:r/>
    </w:p>
    <w:p>
      <w:pPr>
        <w:pStyle w:val="ListNumber"/>
        <w:spacing w:line="240" w:lineRule="auto"/>
        <w:ind w:left="720"/>
      </w:pPr>
      <w:r/>
      <w:hyperlink r:id="rId10">
        <w:r>
          <w:rPr>
            <w:color w:val="0000EE"/>
            <w:u w:val="single"/>
          </w:rPr>
          <w:t>https://www.chaincatcher.com/en/article/2159280</w:t>
        </w:r>
      </w:hyperlink>
      <w:r>
        <w:t xml:space="preserve"> - Lists additional funds and investments, such as those by VanEck, Morph, Foresight Ventures, and Frictionless Capital.</w:t>
      </w:r>
      <w:r/>
    </w:p>
    <w:p>
      <w:pPr>
        <w:pStyle w:val="ListNumber"/>
        <w:spacing w:line="240" w:lineRule="auto"/>
        <w:ind w:left="720"/>
      </w:pPr>
      <w:r/>
      <w:hyperlink r:id="rId10">
        <w:r>
          <w:rPr>
            <w:color w:val="0000EE"/>
            <w:u w:val="single"/>
          </w:rPr>
          <w:t>https://www.chaincatcher.com/en/article/2159280</w:t>
        </w:r>
      </w:hyperlink>
      <w:r>
        <w:t xml:space="preserve"> - Provides information on the total disclosed investment amount and the number of financing cases in various sectors.</w:t>
      </w:r>
      <w:r/>
    </w:p>
    <w:p>
      <w:pPr>
        <w:pStyle w:val="ListNumber"/>
        <w:spacing w:line="240" w:lineRule="auto"/>
        <w:ind w:left="720"/>
      </w:pPr>
      <w:r/>
      <w:hyperlink r:id="rId12">
        <w:r>
          <w:rPr>
            <w:color w:val="0000EE"/>
            <w:u w:val="single"/>
          </w:rPr>
          <w:t>https://www.aicoin.com/en/article/383098</w:t>
        </w:r>
      </w:hyperlink>
      <w:r>
        <w:t xml:space="preserve"> - Offers a comparative perspective on the investment and financing events in the cryptocurrency industry between 2023 and 2024.</w:t>
      </w:r>
      <w:r/>
    </w:p>
    <w:p>
      <w:pPr>
        <w:pStyle w:val="ListNumber"/>
        <w:spacing w:line="240" w:lineRule="auto"/>
        <w:ind w:left="720"/>
      </w:pPr>
      <w:r/>
      <w:hyperlink r:id="rId13">
        <w:r>
          <w:rPr>
            <w:color w:val="0000EE"/>
            <w:u w:val="single"/>
          </w:rPr>
          <w:t>https://news.google.com/rss/articles/CBMiW0FVX3lxTFA0a09qYTFaUzd3Z0MydmkydjVubENzWm83R19wbHVNR051VWxiekZBQ2lydTd4M0kxUTJQbnl0bVNYdEFfdE9YZ19hMGU0OFVleWFHWUpjbXh5OHc?oc=5&amp;hl=en-US&amp;gl=US&amp;ceid=US:en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haincatcher.com/en/article/2159280" TargetMode="External"/><Relationship Id="rId11" Type="http://schemas.openxmlformats.org/officeDocument/2006/relationships/hyperlink" Target="https://n26.com/en-es/blog/biggest-crypto-trends-2024" TargetMode="External"/><Relationship Id="rId12" Type="http://schemas.openxmlformats.org/officeDocument/2006/relationships/hyperlink" Target="https://www.aicoin.com/en/article/383098" TargetMode="External"/><Relationship Id="rId13" Type="http://schemas.openxmlformats.org/officeDocument/2006/relationships/hyperlink" Target="https://news.google.com/rss/articles/CBMiW0FVX3lxTFA0a09qYTFaUzd3Z0MydmkydjVubENzWm83R19wbHVNR051VWxiekZBQ2lydTd4M0kxUTJQbnl0bVNYdEFfdE9YZ19hMGU0OFVleWFHWUpjbXh5OH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