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and OpenAI redefine AGI with profit metrics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the field of artificial intelligence (AI) have drawn significant attention, particularly the intricate relationship between Microsoft and OpenAI regarding the definition of artificial general intelligence (AGI). A report from The Information reveals that the two tech giants have established a unique and specific internal framework to gauge when OpenAI might achieve AGI, which they define based on profit metrics rather than solely technical advancements.</w:t>
      </w:r>
      <w:r/>
    </w:p>
    <w:p>
      <w:r/>
      <w:r>
        <w:t>According to the report, Microsoft and OpenAI agreed that OpenAI will be regarded as having achieved AGI only when its AI systems are capable of generating at least $100 billion in profits. This interpretation contrasts sharply with the more traditional views of AGI, which often focus on a machine's ability to exhibit general cognitive capabilities similar to those of a human being.</w:t>
      </w:r>
      <w:r/>
    </w:p>
    <w:p>
      <w:r/>
      <w:r>
        <w:t>Current financial projections for OpenAI indicate that the startup is on track to incur losses amounting to billions of dollars this year, casting doubt on its immediate path to profitability. The company has informed its investors that it does not anticipate reaching a profitable state until 2029. Such timelines raise questions about how soon OpenAI might officially declare it has achieved AGI under the profit-led metric established in its agreement with Microsoft.</w:t>
      </w:r>
      <w:r/>
    </w:p>
    <w:p>
      <w:r/>
      <w:r>
        <w:t>This profit-centric approach is particularly crucial given that Microsoft stands to lose access to OpenAI’s advanced technologies once AGI is declared. There have been speculations within the tech community about OpenAI potentially declaring AGI sooner than expected to limit Microsoft’s access and consolidate its own market position. However, the binding nature of the current agreement suggests that Microsoft may retain access to OpenAI’s capabilities for an extended period, potentially up to a decade.</w:t>
      </w:r>
      <w:r/>
    </w:p>
    <w:p>
      <w:r/>
      <w:r>
        <w:t>In the ongoing discussions regarding advancements in AI, the recent introduction of OpenAI’s o3 model has been a focal point of debate. While some industry experts argue that o3 might represent a significant stride toward achieving AGI, it has been noted that the model comes with considerable computational costs. This aspect raises concerns about the financial viability of pursuing an AGI that aligns with the profit-centric goals outlined in the Microsoft-OpenAI agreement.</w:t>
      </w:r>
      <w:r/>
    </w:p>
    <w:p>
      <w:r/>
      <w:r>
        <w:t>As the AI landscape continues to evolve, the partnerships, definitions, and financial implications will undoubtedly play a pivotal role in determining the trajectory of AI automation within various industries. The current focus on profit margins in the context of AGI underscores a broader trend in the business sector, where financial viability increasingly dictates the pace and direction of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https://opentools.ai/news/openais-dollar100-billion-agi-benchmark-a-game-changer-or-a-profit-pitfall</w:t>
        </w:r>
      </w:hyperlink>
      <w:r>
        <w:t xml:space="preserve"> - Corroborates the agreement between Microsoft and OpenAI that defines AGI based on a $100 billion profit metric, and discusses the financial challenges and implications of this benchmark.</w:t>
      </w:r>
      <w:r/>
    </w:p>
    <w:p>
      <w:pPr>
        <w:pStyle w:val="ListNumber"/>
        <w:spacing w:line="240" w:lineRule="auto"/>
        <w:ind w:left="720"/>
      </w:pPr>
      <w:r/>
      <w:hyperlink r:id="rId10">
        <w:r>
          <w:rPr>
            <w:color w:val="0000EE"/>
            <w:u w:val="single"/>
          </w:rPr>
          <w:t>https://opentools.ai/news/openais-dollar100-billion-agi-benchmark-a-game-changer-or-a-profit-pitfall</w:t>
        </w:r>
      </w:hyperlink>
      <w:r>
        <w:t xml:space="preserve"> - Provides details on OpenAI's current financial status, including projected losses and the anticipated return to profitability by 2029, and the impact on achieving AGI.</w:t>
      </w:r>
      <w:r/>
    </w:p>
    <w:p>
      <w:pPr>
        <w:pStyle w:val="ListNumber"/>
        <w:spacing w:line="240" w:lineRule="auto"/>
        <w:ind w:left="720"/>
      </w:pPr>
      <w:r/>
      <w:hyperlink r:id="rId11">
        <w:r>
          <w:rPr>
            <w:color w:val="0000EE"/>
            <w:u w:val="single"/>
          </w:rPr>
          <w:t>https://windowsforum.com/threads/defining-agi-by-profit-microsoft-and-openais-shifting-paradigm.348659/</w:t>
        </w:r>
      </w:hyperlink>
      <w:r>
        <w:t xml:space="preserve"> - Supports the unique definition of AGI based on profit metrics rather than traditional technical advancements, and the significance of this shift in the Microsoft-OpenAI agreement.</w:t>
      </w:r>
      <w:r/>
    </w:p>
    <w:p>
      <w:pPr>
        <w:pStyle w:val="ListNumber"/>
        <w:spacing w:line="240" w:lineRule="auto"/>
        <w:ind w:left="720"/>
      </w:pPr>
      <w:r/>
      <w:hyperlink r:id="rId10">
        <w:r>
          <w:rPr>
            <w:color w:val="0000EE"/>
            <w:u w:val="single"/>
          </w:rPr>
          <w:t>https://opentools.ai/news/openais-dollar100-billion-agi-benchmark-a-game-changer-or-a-profit-pitfall</w:t>
        </w:r>
      </w:hyperlink>
      <w:r>
        <w:t xml:space="preserve"> - Explains the profit-centric approach and its implications, including Microsoft's potential loss of access to OpenAI's advanced technologies once AGI is achieved.</w:t>
      </w:r>
      <w:r/>
    </w:p>
    <w:p>
      <w:pPr>
        <w:pStyle w:val="ListNumber"/>
        <w:spacing w:line="240" w:lineRule="auto"/>
        <w:ind w:left="720"/>
      </w:pPr>
      <w:r/>
      <w:hyperlink r:id="rId11">
        <w:r>
          <w:rPr>
            <w:color w:val="0000EE"/>
            <w:u w:val="single"/>
          </w:rPr>
          <w:t>https://windowsforum.com/threads/defining-agi-by-profit-microsoft-and-openais-shifting-paradigm.348659/</w:t>
        </w:r>
      </w:hyperlink>
      <w:r>
        <w:t xml:space="preserve"> - Discusses the financial benchmark of $100 billion in profits as a criterion for achieving AGI and the contrast with traditional views of AGI.</w:t>
      </w:r>
      <w:r/>
    </w:p>
    <w:p>
      <w:pPr>
        <w:pStyle w:val="ListNumber"/>
        <w:spacing w:line="240" w:lineRule="auto"/>
        <w:ind w:left="720"/>
      </w:pPr>
      <w:r/>
      <w:hyperlink r:id="rId10">
        <w:r>
          <w:rPr>
            <w:color w:val="0000EE"/>
            <w:u w:val="single"/>
          </w:rPr>
          <w:t>https://opentools.ai/news/openais-dollar100-billion-agi-benchmark-a-game-changer-or-a-profit-pitfall</w:t>
        </w:r>
      </w:hyperlink>
      <w:r>
        <w:t xml:space="preserve"> - Mentions the potential for Microsoft to diversify its AI investments and the broader industry trend towards economically driven innovation strategies.</w:t>
      </w:r>
      <w:r/>
    </w:p>
    <w:p>
      <w:pPr>
        <w:pStyle w:val="ListNumber"/>
        <w:spacing w:line="240" w:lineRule="auto"/>
        <w:ind w:left="720"/>
      </w:pPr>
      <w:r/>
      <w:hyperlink r:id="rId10">
        <w:r>
          <w:rPr>
            <w:color w:val="0000EE"/>
            <w:u w:val="single"/>
          </w:rPr>
          <w:t>https://opentools.ai/news/openais-dollar100-billion-agi-benchmark-a-game-changer-or-a-profit-pitfall</w:t>
        </w:r>
      </w:hyperlink>
      <w:r>
        <w:t xml:space="preserve"> - Highlights the financial viability concerns related to pursuing AGI under the profit-centric goals, including the computational costs of advanced models like o3.</w:t>
      </w:r>
      <w:r/>
    </w:p>
    <w:p>
      <w:pPr>
        <w:pStyle w:val="ListNumber"/>
        <w:spacing w:line="240" w:lineRule="auto"/>
        <w:ind w:left="720"/>
      </w:pPr>
      <w:r/>
      <w:hyperlink r:id="rId11">
        <w:r>
          <w:rPr>
            <w:color w:val="0000EE"/>
            <w:u w:val="single"/>
          </w:rPr>
          <w:t>https://windowsforum.com/threads/defining-agi-by-profit-microsoft-and-openais-shifting-paradigm.348659/</w:t>
        </w:r>
      </w:hyperlink>
      <w:r>
        <w:t xml:space="preserve"> - Speculates on the potential for OpenAI to declare AGI sooner to limit Microsoft’s access and consolidate its market position, despite the binding nature of the agreement.</w:t>
      </w:r>
      <w:r/>
    </w:p>
    <w:p>
      <w:pPr>
        <w:pStyle w:val="ListNumber"/>
        <w:spacing w:line="240" w:lineRule="auto"/>
        <w:ind w:left="720"/>
      </w:pPr>
      <w:r/>
      <w:hyperlink r:id="rId10">
        <w:r>
          <w:rPr>
            <w:color w:val="0000EE"/>
            <w:u w:val="single"/>
          </w:rPr>
          <w:t>https://opentools.ai/news/openais-dollar100-billion-agi-benchmark-a-game-changer-or-a-profit-pitfall</w:t>
        </w:r>
      </w:hyperlink>
      <w:r>
        <w:t xml:space="preserve"> - Emphasizes the broader trend in the business sector where financial viability dictates the pace and direction of technological advancements in AI.</w:t>
      </w:r>
      <w:r/>
    </w:p>
    <w:p>
      <w:pPr>
        <w:pStyle w:val="ListNumber"/>
        <w:spacing w:line="240" w:lineRule="auto"/>
        <w:ind w:left="720"/>
      </w:pPr>
      <w:r/>
      <w:hyperlink r:id="rId11">
        <w:r>
          <w:rPr>
            <w:color w:val="0000EE"/>
            <w:u w:val="single"/>
          </w:rPr>
          <w:t>https://windowsforum.com/threads/defining-agi-by-profit-microsoft-and-openais-shifting-paradigm.348659/</w:t>
        </w:r>
      </w:hyperlink>
      <w:r>
        <w:t xml:space="preserve"> - Details the significance of the Microsoft-OpenAI agreement and its impact on the definition and pursuit of AGI in the tech industry.</w:t>
      </w:r>
      <w:r/>
    </w:p>
    <w:p>
      <w:pPr>
        <w:pStyle w:val="ListNumber"/>
        <w:spacing w:line="240" w:lineRule="auto"/>
        <w:ind w:left="720"/>
      </w:pPr>
      <w:r/>
      <w:hyperlink r:id="rId12">
        <w:r>
          <w:rPr>
            <w:color w:val="0000EE"/>
            <w:u w:val="single"/>
          </w:rPr>
          <w:t>https://techcrunch.com/2024/12/26/microsoft-and-openai-have-a-financial-definition-of-agi-report/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openais-dollar100-billion-agi-benchmark-a-game-changer-or-a-profit-pitfall" TargetMode="External"/><Relationship Id="rId11" Type="http://schemas.openxmlformats.org/officeDocument/2006/relationships/hyperlink" Target="https://windowsforum.com/threads/defining-agi-by-profit-microsoft-and-openais-shifting-paradigm.348659/" TargetMode="External"/><Relationship Id="rId12" Type="http://schemas.openxmlformats.org/officeDocument/2006/relationships/hyperlink" Target="https://techcrunch.com/2024/12/26/microsoft-and-openai-have-a-financial-definition-of-agi-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