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evolving landscape of digital asset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Digital Asset Management (DAM) sector is undergoing significant changes prompted by advancements in technology and shifting business needs. A recent publication from Digital Asset Management News highlights a diverse array of articles focusing on topical issues and emerging trends that are shaping the future of DAM and its intricate relationship with other business tech solutions.</w:t>
      </w:r>
      <w:r/>
    </w:p>
    <w:p>
      <w:r/>
      <w:r>
        <w:t>A notable challenge many organisations face when initiating new DAM projects is securing the support and approval from senior management and other key stakeholders. An article from ResourceSpace outlines five crucial stakeholder groups comprising C-Suite executives, IT departments, marketing and branding teams, legal and compliance personnel, and external agencies or third-party providers. The piece emphasises the importance of effective engagement strategies and offers practical advice for those tasked with gaining stakeholder buy-in for DAM initiatives.</w:t>
      </w:r>
      <w:r/>
    </w:p>
    <w:p>
      <w:r/>
      <w:r>
        <w:t>In an exploration of marketing technology (martech), Orange Logic provides insights into the ten essential components of a martech stack and discusses the integral role that a DAM system can play within this framework. The components identified include marketing automation, customer relationship management (CRM), content management systems (CMS), social media engagement tools, search engine optimisation (SEO), analytics, email marketing, and personalisation services. By positioning DAM as a centralised hub, organisations can facilitate a more streamlined workflow, thereby enhancing productivity and effectiveness across all marketing efforts.</w:t>
      </w:r>
      <w:r/>
    </w:p>
    <w:p>
      <w:r/>
      <w:r>
        <w:t>Taxonomist Heather Hedden, reflecting on her recent experience at the Connected Data London conference, delves into the complexities surrounding the terms 'ontologies' and 'knowledge graphs'. Her discussion clarifies the characteristics that differentiate these data structures—often confused by practitioners—and provides a contextual understanding of their origins rooted in data science and biomedicine.</w:t>
      </w:r>
      <w:r/>
    </w:p>
    <w:p>
      <w:r/>
      <w:r>
        <w:t>The emergence of AI-assisted video generation tools has prompted significant discourse, particularly regarding their efficacy and usability. Visual technology expert Paul Melcher shares insights on the burgeoning adoption of platforms such as OpenAI’s Sora. He notes that while these tools possess the potential to enhance content creation, their true effectiveness lies in the hands of skilled professionals. Melcher suggests that the tools may categorically serve two demographics: creative professionals seeking to augment their workflows, and tool builders looking to empower less creatively inclined users with automated content generation capabilities. Ultimately, Melcher warns that without the requisite skills, the benefits of these AI tools may not be fully realised.</w:t>
      </w:r>
      <w:r/>
    </w:p>
    <w:p>
      <w:r/>
      <w:r>
        <w:t>Furthermore, digital strategist Gaurav Mishra examines the increasing relevance of Schema.org in the context of AI-driven search technologies. He argues that as the landscape shifts from content-centric to context-centric search results, businesses must adapt their schema and markup strategies. Mishra contends that effectively leveraging Schema.org enables search engines to better understand digital content, thereby improving the accuracy with which AI can represent this material to users.</w:t>
      </w:r>
      <w:r/>
    </w:p>
    <w:p>
      <w:r/>
      <w:r>
        <w:t>As businesses navigate the evolving digital landscape, the insights shared across various articles in the Digital Asset Management News offer a comprehensive overview of key challenges and innovations. The landscape of DAM, martech, and AI-driven solutions is not only shaping current business practices but also influencing future frameworks for digital content management and marketing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https://stacksteam.com/blog/identifying-the-5-types-of-dam-stakeholders</w:t>
        </w:r>
      </w:hyperlink>
      <w:r>
        <w:t xml:space="preserve"> - This article corroborates the importance of identifying and engaging key stakeholder groups for DAM initiatives, including C-Suite executives, IT departments, marketing and branding teams, legal and compliance personnel, and external agencies.</w:t>
      </w:r>
      <w:r/>
    </w:p>
    <w:p>
      <w:pPr>
        <w:pStyle w:val="ListNumber"/>
        <w:spacing w:line="240" w:lineRule="auto"/>
        <w:ind w:left="720"/>
      </w:pPr>
      <w:r/>
      <w:hyperlink r:id="rId11">
        <w:r>
          <w:rPr>
            <w:color w:val="0000EE"/>
            <w:u w:val="single"/>
          </w:rPr>
          <w:t>https://marcom.com/the-state-of-digital-asset-management/</w:t>
        </w:r>
      </w:hyperlink>
      <w:r>
        <w:t xml:space="preserve"> - This article supports the discussion on the evolving role of DAM in marketing technology and its integration with other business tech solutions, such as CRM, CMS, and marketing automation platforms.</w:t>
      </w:r>
      <w:r/>
    </w:p>
    <w:p>
      <w:pPr>
        <w:pStyle w:val="ListNumber"/>
        <w:spacing w:line="240" w:lineRule="auto"/>
        <w:ind w:left="720"/>
      </w:pPr>
      <w:r/>
      <w:hyperlink r:id="rId12">
        <w:r>
          <w:rPr>
            <w:color w:val="0000EE"/>
            <w:u w:val="single"/>
          </w:rPr>
          <w:t>https://tenovos.com/resources/blog/challenges-why-users-hate-your-dam/</w:t>
        </w:r>
      </w:hyperlink>
      <w:r>
        <w:t xml:space="preserve"> - This article highlights the challenges organizations face in implementing DAM systems, including the need for effective engagement strategies and ensuring the system meets the requirements of all stakeholders.</w:t>
      </w:r>
      <w:r/>
    </w:p>
    <w:p>
      <w:pPr>
        <w:pStyle w:val="ListNumber"/>
        <w:spacing w:line="240" w:lineRule="auto"/>
        <w:ind w:left="720"/>
      </w:pPr>
      <w:r/>
      <w:hyperlink r:id="rId11">
        <w:r>
          <w:rPr>
            <w:color w:val="0000EE"/>
            <w:u w:val="single"/>
          </w:rPr>
          <w:t>https://marcom.com/the-state-of-digital-asset-management/</w:t>
        </w:r>
      </w:hyperlink>
      <w:r>
        <w:t xml:space="preserve"> - This article provides insights into the future trends of DAM, including its expansion beyond marketing to support other business operations and the importance of seamless integration with API-driven design.</w:t>
      </w:r>
      <w:r/>
    </w:p>
    <w:p>
      <w:pPr>
        <w:pStyle w:val="ListNumber"/>
        <w:spacing w:line="240" w:lineRule="auto"/>
        <w:ind w:left="720"/>
      </w:pPr>
      <w:r/>
      <w:hyperlink r:id="rId13">
        <w:r>
          <w:rPr>
            <w:color w:val="0000EE"/>
            <w:u w:val="single"/>
          </w:rPr>
          <w:t>https://www.statestreet.com/us/en/asset-owner/insights/digital-digest-june-2024-digital-assets-study-transformation</w:t>
        </w:r>
      </w:hyperlink>
      <w:r>
        <w:t xml:space="preserve"> - This study supports the notion that digital assets and distributed ledger technology can significantly impact various business areas, such as cost savings and revenue gains, which is relevant to the broader discussion on the impact of technological advancements on DAM.</w:t>
      </w:r>
      <w:r/>
    </w:p>
    <w:p>
      <w:pPr>
        <w:pStyle w:val="ListNumber"/>
        <w:spacing w:line="240" w:lineRule="auto"/>
        <w:ind w:left="720"/>
      </w:pPr>
      <w:r/>
      <w:hyperlink r:id="rId14">
        <w:r>
          <w:rPr>
            <w:color w:val="0000EE"/>
            <w:u w:val="single"/>
          </w:rPr>
          <w:t>https://wit-ie.libguides.com/c.php?g=648995&amp;p=4551538</w:t>
        </w:r>
      </w:hyperlink>
      <w:r>
        <w:t xml:space="preserve"> - This guide on evaluating information from the internet is relevant to ensuring the credibility and accuracy of sources used in discussions about DAM and related technologies.</w:t>
      </w:r>
      <w:r/>
    </w:p>
    <w:p>
      <w:pPr>
        <w:pStyle w:val="ListNumber"/>
        <w:spacing w:line="240" w:lineRule="auto"/>
        <w:ind w:left="720"/>
      </w:pPr>
      <w:r/>
      <w:hyperlink r:id="rId10">
        <w:r>
          <w:rPr>
            <w:color w:val="0000EE"/>
            <w:u w:val="single"/>
          </w:rPr>
          <w:t>https://stacksteam.com/blog/identifying-the-5-types-of-dam-stakeholders</w:t>
        </w:r>
      </w:hyperlink>
      <w:r>
        <w:t xml:space="preserve"> - This article emphasizes the importance of involving external partners and other departments in the planning and implementation of DAM systems to ensure a seamless and effective workflow.</w:t>
      </w:r>
      <w:r/>
    </w:p>
    <w:p>
      <w:pPr>
        <w:pStyle w:val="ListNumber"/>
        <w:spacing w:line="240" w:lineRule="auto"/>
        <w:ind w:left="720"/>
      </w:pPr>
      <w:r/>
      <w:hyperlink r:id="rId11">
        <w:r>
          <w:rPr>
            <w:color w:val="0000EE"/>
            <w:u w:val="single"/>
          </w:rPr>
          <w:t>https://marcom.com/the-state-of-digital-asset-management/</w:t>
        </w:r>
      </w:hyperlink>
      <w:r>
        <w:t xml:space="preserve"> - This article discusses the predicted trends in DAM for 2025, including the exploration of use cases beyond marketing and the integration with sales tools and customer portals.</w:t>
      </w:r>
      <w:r/>
    </w:p>
    <w:p>
      <w:pPr>
        <w:pStyle w:val="ListNumber"/>
        <w:spacing w:line="240" w:lineRule="auto"/>
        <w:ind w:left="720"/>
      </w:pPr>
      <w:r/>
      <w:hyperlink r:id="rId12">
        <w:r>
          <w:rPr>
            <w:color w:val="0000EE"/>
            <w:u w:val="single"/>
          </w:rPr>
          <w:t>https://tenovos.com/resources/blog/challenges-why-users-hate-your-dam/</w:t>
        </w:r>
      </w:hyperlink>
      <w:r>
        <w:t xml:space="preserve"> - This article addresses the challenges in ensuring that DAM systems are intuitive, easy to use, and provide value to all teams, which is crucial for effective implementation and user satisfaction.</w:t>
      </w:r>
      <w:r/>
    </w:p>
    <w:p>
      <w:pPr>
        <w:pStyle w:val="ListNumber"/>
        <w:spacing w:line="240" w:lineRule="auto"/>
        <w:ind w:left="720"/>
      </w:pPr>
      <w:r/>
      <w:hyperlink r:id="rId11">
        <w:r>
          <w:rPr>
            <w:color w:val="0000EE"/>
            <w:u w:val="single"/>
          </w:rPr>
          <w:t>https://marcom.com/the-state-of-digital-asset-management/</w:t>
        </w:r>
      </w:hyperlink>
      <w:r>
        <w:t xml:space="preserve"> - This article highlights the growing value of the DAM market, predicted to reach USD 16.18 billion by 2032, indicating the increasing importance of DAM in a digital-first world.</w:t>
      </w:r>
      <w:r/>
    </w:p>
    <w:p>
      <w:pPr>
        <w:pStyle w:val="ListNumber"/>
        <w:spacing w:line="240" w:lineRule="auto"/>
        <w:ind w:left="720"/>
      </w:pPr>
      <w:r/>
      <w:hyperlink r:id="rId15">
        <w:r>
          <w:rPr>
            <w:color w:val="0000EE"/>
            <w:u w:val="single"/>
          </w:rPr>
          <w:t>https://digitalassetmanagementnews.org/industry-news/dam-news-round-up-23rd-december-2024/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cksteam.com/blog/identifying-the-5-types-of-dam-stakeholders" TargetMode="External"/><Relationship Id="rId11" Type="http://schemas.openxmlformats.org/officeDocument/2006/relationships/hyperlink" Target="https://marcom.com/the-state-of-digital-asset-management/" TargetMode="External"/><Relationship Id="rId12" Type="http://schemas.openxmlformats.org/officeDocument/2006/relationships/hyperlink" Target="https://tenovos.com/resources/blog/challenges-why-users-hate-your-dam/" TargetMode="External"/><Relationship Id="rId13" Type="http://schemas.openxmlformats.org/officeDocument/2006/relationships/hyperlink" Target="https://www.statestreet.com/us/en/asset-owner/insights/digital-digest-june-2024-digital-assets-study-transformation"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digitalassetmanagementnews.org/industry-news/dam-news-round-up-23rd-dec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