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economic outlook for 2025: trends and challenges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economic landscape of the United States evolves, experts are providing insights into anticipated trends and potential challenges heading into 2025. Economists Brian Blank and Brandy Hadley, who are well-regarded for their analyses of financial markets and corporate strategies, have outlined several key factors that will likely shape the economy in the upcoming year.</w:t>
      </w:r>
      <w:r/>
    </w:p>
    <w:p>
      <w:r/>
      <w:r>
        <w:t>Economically, 2024 has demonstrated notable growth, with the U.S. avoiding predictions of a recession that have loomed since 2022. This growth has been supported by moderating inflation and efficiency gains. Blank and Hadley point out that although the economy appears set to maintain this growth into 2025, the situation carries inherent uncertainties. They are particularly attentive to the role of the Federal Reserve and its adjustments to interest rates following a series of cuts late in 2024. The recent slashes to rates, with a terminal rate now settled at 3%, mark a significant shift in strategy, consequently altering market expectations and the broader economic narrative.</w:t>
      </w:r>
      <w:r/>
    </w:p>
    <w:p>
      <w:r/>
      <w:r>
        <w:t>The duo notes that the Federal Reserve's management of interest rates remains a pivotal aspect to observe. "When Fed policymakers set short-term interest rates, they consider whether inflation and unemployment are too high or low," they explain, which underscores the complexities involved in their decision-making process. Economists continue to grapple with the challenge of balancing economic support against spiralling inflation, which hovers around 2.4% as of late 2024—still above the Fed’s target.</w:t>
      </w:r>
      <w:r/>
    </w:p>
    <w:p>
      <w:r/>
      <w:r>
        <w:t>Adding to the uncertainty are potential fiscal policies under the incoming administration, including proposed tariffs and tax cuts. The average effective tariff rate currently stands at 2%, but Blank and Hadley warn that even a slight increase could have significant repercussions on inflation. Historically, a 1% increase in tariff rates has correlated with a 0.1% uptick in annual inflation, highlighting the delicate balance policymakers must navigate.</w:t>
      </w:r>
      <w:r/>
    </w:p>
    <w:p>
      <w:r/>
      <w:r>
        <w:t>In terms of consumer behaviour and employment, the economic outlook appears cautiously optimistic. Even though unemployment has risen slightly to 4.2%, the labour market remains resilient. "Hiring rates are normalizing, while layoffs and unemployment remain low despite edging up," the economists note, suggesting that real incomes are likely to rise, thereby boosting consumer purchasing power. However, they raise concerns about high consumer debt, which could hinder financial stability for some households.</w:t>
      </w:r>
      <w:r/>
    </w:p>
    <w:p>
      <w:r/>
      <w:r>
        <w:t>The performance of financial markets, particularly the stock market, also influences the broader economic sentiment. With current stock price targets at historic highs and corporate earnings demonstrating strength due to cost savings and productivity gains, there is an air of cautious optimism. Notably, advancements in artificial intelligence have contributed positively to the technology sector, exemplified by the outperformance of index funds like the NASDAQ in recent evaluations.</w:t>
      </w:r>
      <w:r/>
    </w:p>
    <w:p>
      <w:r/>
      <w:r>
        <w:t>Looking ahead, Blank and Hadley express hope that favourable economic conditions will continue into 2025. They advocate for a diversified investment strategy to mitigate risks posed by the continuously shifting economic climate and potential inflationary pressures. As they reflect on their forecasts for 2024, the duo remains engaged with the complexities of economic forecasting, recognising that the journey through 2025 is accompanied by both anticipated growth and inevitable uncertainties.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https://www.goldmansachs.com/insights/articles/the-us-economy-is-poised-to-beat-expectations-in-2025</w:t>
        </w:r>
      </w:hyperlink>
      <w:r>
        <w:t xml:space="preserve"> - Corroborates the economic growth outlook for 2025, including GDP growth predictions and the impact of policy changes such as tariffs and tax cuts on the economy.</w:t>
      </w:r>
      <w:r/>
    </w:p>
    <w:p>
      <w:pPr>
        <w:pStyle w:val="ListNumber"/>
        <w:spacing w:line="240" w:lineRule="auto"/>
        <w:ind w:left="720"/>
      </w:pPr>
      <w:r/>
      <w:hyperlink r:id="rId11">
        <w:r>
          <w:rPr>
            <w:color w:val="0000EE"/>
            <w:u w:val="single"/>
          </w:rPr>
          <w:t>https://corporate.vanguard.com/content/corporatesite/us/en/corp/vemo/vemo-united-states.html</w:t>
        </w:r>
      </w:hyperlink>
      <w:r>
        <w:t xml:space="preserve"> - Supports the forecast of core inflation remaining above 2.5% in 2025 and the potential impact of trade tariffs and immigration policies on economic growth.</w:t>
      </w:r>
      <w:r/>
    </w:p>
    <w:p>
      <w:pPr>
        <w:pStyle w:val="ListNumber"/>
        <w:spacing w:line="240" w:lineRule="auto"/>
        <w:ind w:left="720"/>
      </w:pPr>
      <w:r/>
      <w:hyperlink r:id="rId12">
        <w:r>
          <w:rPr>
            <w:color w:val="0000EE"/>
            <w:u w:val="single"/>
          </w:rPr>
          <w:t>https://www.conference-board.org/research/us-forecast</w:t>
        </w:r>
      </w:hyperlink>
      <w:r>
        <w:t xml:space="preserve"> - Provides insights into the US economic forecast, including the expected GDP growth rate for 2025, inflation stabilization, and the Federal Reserve's interest rate adjustments.</w:t>
      </w:r>
      <w:r/>
    </w:p>
    <w:p>
      <w:pPr>
        <w:pStyle w:val="ListNumber"/>
        <w:spacing w:line="240" w:lineRule="auto"/>
        <w:ind w:left="720"/>
      </w:pPr>
      <w:r/>
      <w:hyperlink r:id="rId10">
        <w:r>
          <w:rPr>
            <w:color w:val="0000EE"/>
            <w:u w:val="single"/>
          </w:rPr>
          <w:t>https://www.goldmansachs.com/insights/articles/the-us-economy-is-poised-to-beat-expectations-in-2025</w:t>
        </w:r>
      </w:hyperlink>
      <w:r>
        <w:t xml:space="preserve"> - Details the role of the Federal Reserve in managing interest rates and its impact on inflation and unemployment, aligning with the complexities of their decision-making process.</w:t>
      </w:r>
      <w:r/>
    </w:p>
    <w:p>
      <w:pPr>
        <w:pStyle w:val="ListNumber"/>
        <w:spacing w:line="240" w:lineRule="auto"/>
        <w:ind w:left="720"/>
      </w:pPr>
      <w:r/>
      <w:hyperlink r:id="rId11">
        <w:r>
          <w:rPr>
            <w:color w:val="0000EE"/>
            <w:u w:val="single"/>
          </w:rPr>
          <w:t>https://corporate.vanguard.com/content/corporatesite/us/en/corp/vemo/vemo-united-states.html</w:t>
        </w:r>
      </w:hyperlink>
      <w:r>
        <w:t xml:space="preserve"> - Discusses the potential fiscal policies under the incoming administration, including tariffs and tax cuts, and their effects on inflation.</w:t>
      </w:r>
      <w:r/>
    </w:p>
    <w:p>
      <w:pPr>
        <w:pStyle w:val="ListNumber"/>
        <w:spacing w:line="240" w:lineRule="auto"/>
        <w:ind w:left="720"/>
      </w:pPr>
      <w:r/>
      <w:hyperlink r:id="rId12">
        <w:r>
          <w:rPr>
            <w:color w:val="0000EE"/>
            <w:u w:val="single"/>
          </w:rPr>
          <w:t>https://www.conference-board.org/research/us-forecast</w:t>
        </w:r>
      </w:hyperlink>
      <w:r>
        <w:t xml:space="preserve"> - Outlines the labour market conditions, including the normalization of hiring rates and the slight rise in unemployment, which aligns with the cautious optimism in consumer behaviour and employment.</w:t>
      </w:r>
      <w:r/>
    </w:p>
    <w:p>
      <w:pPr>
        <w:pStyle w:val="ListNumber"/>
        <w:spacing w:line="240" w:lineRule="auto"/>
        <w:ind w:left="720"/>
      </w:pPr>
      <w:r/>
      <w:hyperlink r:id="rId10">
        <w:r>
          <w:rPr>
            <w:color w:val="0000EE"/>
            <w:u w:val="single"/>
          </w:rPr>
          <w:t>https://www.goldmansachs.com/insights/articles/the-us-economy-is-poised-to-beat-expectations-in-2025</w:t>
        </w:r>
      </w:hyperlink>
      <w:r>
        <w:t xml:space="preserve"> - Highlights the resilience of the labour market and the potential for real incomes to rise, boosting consumer purchasing power, despite concerns about high consumer debt.</w:t>
      </w:r>
      <w:r/>
    </w:p>
    <w:p>
      <w:pPr>
        <w:pStyle w:val="ListNumber"/>
        <w:spacing w:line="240" w:lineRule="auto"/>
        <w:ind w:left="720"/>
      </w:pPr>
      <w:r/>
      <w:hyperlink r:id="rId11">
        <w:r>
          <w:rPr>
            <w:color w:val="0000EE"/>
            <w:u w:val="single"/>
          </w:rPr>
          <w:t>https://corporate.vanguard.com/content/corporatesite/us/en/corp/vemo/vemo-united-states.html</w:t>
        </w:r>
      </w:hyperlink>
      <w:r>
        <w:t xml:space="preserve"> - Mentions the performance of financial markets, including the impact of cost savings and productivity gains on corporate earnings and the technology sector.</w:t>
      </w:r>
      <w:r/>
    </w:p>
    <w:p>
      <w:pPr>
        <w:pStyle w:val="ListNumber"/>
        <w:spacing w:line="240" w:lineRule="auto"/>
        <w:ind w:left="720"/>
      </w:pPr>
      <w:r/>
      <w:hyperlink r:id="rId12">
        <w:r>
          <w:rPr>
            <w:color w:val="0000EE"/>
            <w:u w:val="single"/>
          </w:rPr>
          <w:t>https://www.conference-board.org/research/us-forecast</w:t>
        </w:r>
      </w:hyperlink>
      <w:r>
        <w:t xml:space="preserve"> - Supports the cautious optimism in financial markets, particularly the stock market, and the influence of economic sentiment on market performance.</w:t>
      </w:r>
      <w:r/>
    </w:p>
    <w:p>
      <w:pPr>
        <w:pStyle w:val="ListNumber"/>
        <w:spacing w:line="240" w:lineRule="auto"/>
        <w:ind w:left="720"/>
      </w:pPr>
      <w:r/>
      <w:hyperlink r:id="rId10">
        <w:r>
          <w:rPr>
            <w:color w:val="0000EE"/>
            <w:u w:val="single"/>
          </w:rPr>
          <w:t>https://www.goldmansachs.com/insights/articles/the-us-economy-is-poised-to-beat-expectations-in-2025</w:t>
        </w:r>
      </w:hyperlink>
      <w:r>
        <w:t xml:space="preserve"> - Advocates for a diversified investment strategy to mitigate risks posed by the shifting economic climate and potential inflationary pressures, aligning with Blank and Hadley's recommendations.</w:t>
      </w:r>
      <w:r/>
    </w:p>
    <w:p>
      <w:pPr>
        <w:pStyle w:val="ListNumber"/>
        <w:spacing w:line="240" w:lineRule="auto"/>
        <w:ind w:left="720"/>
      </w:pPr>
      <w:r/>
      <w:hyperlink r:id="rId13">
        <w:r>
          <w:rPr>
            <w:color w:val="0000EE"/>
            <w:u w:val="single"/>
          </w:rPr>
          <w:t>https://www.whittierdailynews.com/2024/12/26/what-does-2025-hold-for-interest-rates-inflation-and-the-american-consumer/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insights/articles/the-us-economy-is-poised-to-beat-expectations-in-2025" TargetMode="External"/><Relationship Id="rId11" Type="http://schemas.openxmlformats.org/officeDocument/2006/relationships/hyperlink" Target="https://corporate.vanguard.com/content/corporatesite/us/en/corp/vemo/vemo-united-states.html" TargetMode="External"/><Relationship Id="rId12" Type="http://schemas.openxmlformats.org/officeDocument/2006/relationships/hyperlink" Target="https://www.conference-board.org/research/us-forecast" TargetMode="External"/><Relationship Id="rId13" Type="http://schemas.openxmlformats.org/officeDocument/2006/relationships/hyperlink" Target="https://www.whittierdailynews.com/2024/12/26/what-does-2025-hold-for-interest-rates-inflation-and-the-american-consu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