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embrace automation in foreign exchange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foreign exchange (FX) management, businesses are increasingly turning to automation and advanced technologies to ally themselves with comprehensive risk management strategies. A report by Global Finance Magazine highlights key industry trends and showcases notable players who are enhancing their FX platforms to guide companies through the complexities of international currency exposure.</w:t>
      </w:r>
      <w:r/>
    </w:p>
    <w:p>
      <w:r/>
      <w:r>
        <w:t>GTreasury has been recognised as the Best TMS Provider with FX Module. According to Sandra Koch, vice president of risk solutions, a robust FX management framework relies heavily on the integration of data and analytics. "62% of companies that successfully mitigated FX risk credited having an integrated approach that brought exposure identification, risk assessment, and hedging under one system," Koch stated. GTreasury’s FX solution enables treasury teams to unify exposure data, automate risk assessments, and execute effective hedging strategies through an integrated interface.</w:t>
      </w:r>
      <w:r/>
    </w:p>
    <w:p>
      <w:r/>
      <w:r>
        <w:t>Investec was awarded Best FX Trading Platform and is deploying an FX analytics tool via its Investec ix platform, empowering clients to evaluate their FX exposure effectively. This tool allows clients to identify both risks and opportunities and further supports risk assessment with a hedging analytics tool.</w:t>
      </w:r>
      <w:r/>
    </w:p>
    <w:p>
      <w:r/>
      <w:r>
        <w:t>Citi Velocity has garnered accolades for Best End-to-End Processing, Best Data and Analytics Platform, and Best Big Picture View of Positions. Ayesa Latif, the global head of FX products at Citi, explained that clients are increasingly seeking methods to enhance their execution and liquidity sourcing. “They demand fully integrated workflow solutions with real-time pre- to post-trade information to enhance their decision-making,” Latif explained, underscoring Citi's investment strategy in technology to meet these complex needs.</w:t>
      </w:r>
      <w:r/>
    </w:p>
    <w:p>
      <w:r/>
      <w:r>
        <w:t>The application of artificial intelligence (AI) and machine learning in FX trading is a prevailing trend. These technologies are employed to execute trades at optimal times, analysing historical data for informed decision-making. DBS, a double award winner for Most Innovative Bank for FX and for Best AI/Machine Learning FX Tool, introduced an AI-driven hyper-personalisation tool called Hi-P, which helps the corporate sales team engage customers by offering tailored recommendations and monitoring customer behaviour deviations.</w:t>
      </w:r>
      <w:r/>
    </w:p>
    <w:p>
      <w:r/>
      <w:r>
        <w:t>LSEG, previously known as Refinitiv, received recognition for its Best Data and Analytics FX Instrument. It offers a comprehensive platform for financial professionals, bolstered by powerful analytics tools and extensive, cross-asset class data coverage.</w:t>
      </w:r>
      <w:r/>
    </w:p>
    <w:p>
      <w:r/>
      <w:r>
        <w:t>In addition, Bloomberg launched a new sustainability screening tool on the Bloomberg Terminal, which allows investors to set specific parameters for their portfolios based on sustainability, governance criteria, and exclusion benchmarks. This function offers investors a deeper insight into their investments' alignment with personal or institutional values.</w:t>
      </w:r>
      <w:r/>
    </w:p>
    <w:p>
      <w:r/>
      <w:r>
        <w:t>J.P. Morgan was celebrated with awards for Best Execution Algorithms and Best DeFi Crypto FX Platform. Its Kinexys unit is integrating blockchain technology into FX services to facilitate near real-time FX transactions and settlements, initially in US dollars and euros, set to expand by early 2025.</w:t>
      </w:r>
      <w:r/>
    </w:p>
    <w:p>
      <w:r/>
      <w:r>
        <w:t>Corpay Cross-Border Solutions was awarded Most Innovative Non-Bank for FX and Best FX for Payments Solution. It provides tailored payment solutions across various sectors, enabling clients to manage diverse payment needs.</w:t>
      </w:r>
      <w:r/>
    </w:p>
    <w:p>
      <w:r/>
      <w:r>
        <w:t>BBVA collected awards for Best Bank Digital FX Platform and Best FX Solution for SMEs. The bank emphasised the importance of catering to the unique needs of small and medium-sized enterprises (SMEs) by offering an app facilitating FX exposure management, international transfers, and market alerts.</w:t>
      </w:r>
      <w:r/>
    </w:p>
    <w:p>
      <w:r/>
      <w:r>
        <w:t>As businesses continue to adapt to FX market volatility arising from geopolitical tensions and economic uncertainties, future trends suggest that advanced forecasting tools will play a crucial role. In 2025, enhanced AI-powered analyses are expected to enable deeper insights into currency movements, while real-time monitoring systems will assist in identifying potential risks promptly. Furthermore, the integration of blockchain and automated smart contracts is anticipated to enhance both security and efficiency in cross-border payments.</w:t>
      </w:r>
      <w:r/>
    </w:p>
    <w:p>
      <w:r/>
      <w:r>
        <w:t>Overall, as the FX landscape increasingly integrates advanced technology, businesses are poised to navigate currency exposures with greater confidence, utilizing a combination of automation, real-time analytics, and innovative trading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https://www.globenewswire.com/news-release/2024/03/18/2847901/0/en/GTreasury-Wins-Global-Finance-Magazine-s-2024-FX-Tech-Award-for-Best-TMS-Provider-with-FX-Module.html</w:t>
        </w:r>
      </w:hyperlink>
      <w:r>
        <w:t xml:space="preserve"> - Corroborates GTreasury's recognition as the Best TMS Provider with FX Module and details its FX management framework.</w:t>
      </w:r>
      <w:r/>
    </w:p>
    <w:p>
      <w:pPr>
        <w:pStyle w:val="ListNumber"/>
        <w:spacing w:line="240" w:lineRule="auto"/>
        <w:ind w:left="720"/>
      </w:pPr>
      <w:r/>
      <w:hyperlink r:id="rId11">
        <w:r>
          <w:rPr>
            <w:color w:val="0000EE"/>
            <w:u w:val="single"/>
          </w:rPr>
          <w:t>https://gtreasury.com/blog/news/gtreasury-wins-global-finance-magazines-2024-fx-tech-award-for-best-tms-provider-with-fx-module/</w:t>
        </w:r>
      </w:hyperlink>
      <w:r>
        <w:t xml:space="preserve"> - Provides additional details on GTreasury’s FX solution and its capabilities in integrating data and analytics for risk management.</w:t>
      </w:r>
      <w:r/>
    </w:p>
    <w:p>
      <w:pPr>
        <w:pStyle w:val="ListNumber"/>
        <w:spacing w:line="240" w:lineRule="auto"/>
        <w:ind w:left="720"/>
      </w:pPr>
      <w:r/>
      <w:hyperlink r:id="rId10">
        <w:r>
          <w:rPr>
            <w:color w:val="0000EE"/>
            <w:u w:val="single"/>
          </w:rPr>
          <w:t>https://www.globenewswire.com/news-release/2024/03/18/2847901/0/en/GTreasury-Wins-Global-Finance-Magazine-s-2024-FX-Tech-Award-for-Best-TMS-Provider-with-FX-Module.html</w:t>
        </w:r>
      </w:hyperlink>
      <w:r>
        <w:t xml:space="preserve"> - Supports the integration of data and analytics in GTreasury’s FX management framework as stated by Sandra Koch.</w:t>
      </w:r>
      <w:r/>
    </w:p>
    <w:p>
      <w:pPr>
        <w:pStyle w:val="ListNumber"/>
        <w:spacing w:line="240" w:lineRule="auto"/>
        <w:ind w:left="720"/>
      </w:pPr>
      <w:r/>
      <w:hyperlink r:id="rId12">
        <w:r>
          <w:rPr>
            <w:color w:val="0000EE"/>
            <w:u w:val="single"/>
          </w:rPr>
          <w:t>https://www.investec.com/en_za/fx/investec-ix.html</w:t>
        </w:r>
      </w:hyperlink>
      <w:r>
        <w:t xml:space="preserve"> - Details Investec's ix platform and its FX analytics tool for evaluating FX exposure, though the specific award is not mentioned here.</w:t>
      </w:r>
      <w:r/>
    </w:p>
    <w:p>
      <w:pPr>
        <w:pStyle w:val="ListNumber"/>
        <w:spacing w:line="240" w:lineRule="auto"/>
        <w:ind w:left="720"/>
      </w:pPr>
      <w:r/>
      <w:hyperlink r:id="rId13">
        <w:r>
          <w:rPr>
            <w:color w:val="0000EE"/>
            <w:u w:val="single"/>
          </w:rPr>
          <w:t>https://www.citibank.com/citi/velocity/</w:t>
        </w:r>
      </w:hyperlink>
      <w:r>
        <w:t xml:space="preserve"> - Provides information on Citi Velocity's capabilities, though it does not explicitly mention the awards, it supports the integrated workflow solutions described.</w:t>
      </w:r>
      <w:r/>
    </w:p>
    <w:p>
      <w:pPr>
        <w:pStyle w:val="ListNumber"/>
        <w:spacing w:line="240" w:lineRule="auto"/>
        <w:ind w:left="720"/>
      </w:pPr>
      <w:r/>
      <w:hyperlink r:id="rId14">
        <w:r>
          <w:rPr>
            <w:color w:val="0000EE"/>
            <w:u w:val="single"/>
          </w:rPr>
          <w:t>https://www.dbs.com/newsroom/press-releases/dbs-introduces-ai-driven-hyper-personalisation-tool-for-corporate-clients</w:t>
        </w:r>
      </w:hyperlink>
      <w:r>
        <w:t xml:space="preserve"> - Corroborates DBS's introduction of an AI-driven hyper-personalisation tool called Hi-P for corporate sales teams.</w:t>
      </w:r>
      <w:r/>
    </w:p>
    <w:p>
      <w:pPr>
        <w:pStyle w:val="ListNumber"/>
        <w:spacing w:line="240" w:lineRule="auto"/>
        <w:ind w:left="720"/>
      </w:pPr>
      <w:r/>
      <w:hyperlink r:id="rId15">
        <w:r>
          <w:rPr>
            <w:color w:val="0000EE"/>
            <w:u w:val="single"/>
          </w:rPr>
          <w:t>https://www.lseg.com/markets-products/data-analytics/refinitiv</w:t>
        </w:r>
      </w:hyperlink>
      <w:r>
        <w:t xml:space="preserve"> - Details LSEG's (formerly Refinitiv) comprehensive platform for financial professionals, including powerful analytics tools and data coverage.</w:t>
      </w:r>
      <w:r/>
    </w:p>
    <w:p>
      <w:pPr>
        <w:pStyle w:val="ListNumber"/>
        <w:spacing w:line="240" w:lineRule="auto"/>
        <w:ind w:left="720"/>
      </w:pPr>
      <w:r/>
      <w:hyperlink r:id="rId16">
        <w:r>
          <w:rPr>
            <w:color w:val="0000EE"/>
            <w:u w:val="single"/>
          </w:rPr>
          <w:t>https://www.bloomberg.com/professional/sustainability-screening/</w:t>
        </w:r>
      </w:hyperlink>
      <w:r>
        <w:t xml:space="preserve"> - Supports Bloomberg's launch of a new sustainability screening tool on the Bloomberg Terminal.</w:t>
      </w:r>
      <w:r/>
    </w:p>
    <w:p>
      <w:pPr>
        <w:pStyle w:val="ListNumber"/>
        <w:spacing w:line="240" w:lineRule="auto"/>
        <w:ind w:left="720"/>
      </w:pPr>
      <w:r/>
      <w:hyperlink r:id="rId17">
        <w:r>
          <w:rPr>
            <w:color w:val="0000EE"/>
            <w:u w:val="single"/>
          </w:rPr>
          <w:t>https://www.jpmorgan.com/commercial-banking/insights/kinexys</w:t>
        </w:r>
      </w:hyperlink>
      <w:r>
        <w:t xml:space="preserve"> - Provides information on J.P. Morgan's Kinexys unit and its integration of blockchain technology into FX services.</w:t>
      </w:r>
      <w:r/>
    </w:p>
    <w:p>
      <w:pPr>
        <w:pStyle w:val="ListNumber"/>
        <w:spacing w:line="240" w:lineRule="auto"/>
        <w:ind w:left="720"/>
      </w:pPr>
      <w:r/>
      <w:hyperlink r:id="rId18">
        <w:r>
          <w:rPr>
            <w:color w:val="0000EE"/>
            <w:u w:val="single"/>
          </w:rPr>
          <w:t>https://www.corpay.com/cross-border-solutions/</w:t>
        </w:r>
      </w:hyperlink>
      <w:r>
        <w:t xml:space="preserve"> - Details Corpay Cross-Border Solutions' tailored payment solutions across various sectors, supporting its recognition as Most Innovative Non-Bank for FX.</w:t>
      </w:r>
      <w:r/>
    </w:p>
    <w:p>
      <w:pPr>
        <w:pStyle w:val="ListNumber"/>
        <w:spacing w:line="240" w:lineRule="auto"/>
        <w:ind w:left="720"/>
      </w:pPr>
      <w:r/>
      <w:hyperlink r:id="rId19">
        <w:r>
          <w:rPr>
            <w:color w:val="0000EE"/>
            <w:u w:val="single"/>
          </w:rPr>
          <w:t>https://www.bbva.com/en/bbva-digital-fx-platform/</w:t>
        </w:r>
      </w:hyperlink>
      <w:r>
        <w:t xml:space="preserve"> - Supports BBVA's awards for Best Bank Digital FX Platform and Best FX Solution for SMEs, highlighting its app for FX exposure management and international transfers.</w:t>
      </w:r>
      <w:r/>
    </w:p>
    <w:p>
      <w:pPr>
        <w:pStyle w:val="ListNumber"/>
        <w:spacing w:line="240" w:lineRule="auto"/>
        <w:ind w:left="720"/>
      </w:pPr>
      <w:r/>
      <w:hyperlink r:id="rId20">
        <w:r>
          <w:rPr>
            <w:color w:val="0000EE"/>
            <w:u w:val="single"/>
          </w:rPr>
          <w:t>https://gfmag.com/transaction-banking/gw-platt-best-foreign-exchange-bank-awards-2025-fx-tech-global-winners/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03/18/2847901/0/en/GTreasury-Wins-Global-Finance-Magazine-s-2024-FX-Tech-Award-for-Best-TMS-Provider-with-FX-Module.html" TargetMode="External"/><Relationship Id="rId11" Type="http://schemas.openxmlformats.org/officeDocument/2006/relationships/hyperlink" Target="https://gtreasury.com/blog/news/gtreasury-wins-global-finance-magazines-2024-fx-tech-award-for-best-tms-provider-with-fx-module/" TargetMode="External"/><Relationship Id="rId12" Type="http://schemas.openxmlformats.org/officeDocument/2006/relationships/hyperlink" Target="https://www.investec.com/en_za/fx/investec-ix.html" TargetMode="External"/><Relationship Id="rId13" Type="http://schemas.openxmlformats.org/officeDocument/2006/relationships/hyperlink" Target="https://www.citibank.com/citi/velocity/" TargetMode="External"/><Relationship Id="rId14" Type="http://schemas.openxmlformats.org/officeDocument/2006/relationships/hyperlink" Target="https://www.dbs.com/newsroom/press-releases/dbs-introduces-ai-driven-hyper-personalisation-tool-for-corporate-clients" TargetMode="External"/><Relationship Id="rId15" Type="http://schemas.openxmlformats.org/officeDocument/2006/relationships/hyperlink" Target="https://www.lseg.com/markets-products/data-analytics/refinitiv" TargetMode="External"/><Relationship Id="rId16" Type="http://schemas.openxmlformats.org/officeDocument/2006/relationships/hyperlink" Target="https://www.bloomberg.com/professional/sustainability-screening/" TargetMode="External"/><Relationship Id="rId17" Type="http://schemas.openxmlformats.org/officeDocument/2006/relationships/hyperlink" Target="https://www.jpmorgan.com/commercial-banking/insights/kinexys" TargetMode="External"/><Relationship Id="rId18" Type="http://schemas.openxmlformats.org/officeDocument/2006/relationships/hyperlink" Target="https://www.corpay.com/cross-border-solutions/" TargetMode="External"/><Relationship Id="rId19" Type="http://schemas.openxmlformats.org/officeDocument/2006/relationships/hyperlink" Target="https://www.bbva.com/en/bbva-digital-fx-platform/" TargetMode="External"/><Relationship Id="rId20" Type="http://schemas.openxmlformats.org/officeDocument/2006/relationships/hyperlink" Target="https://gfmag.com/transaction-banking/gw-platt-best-foreign-exchange-bank-awards-2025-fx-tech-global-win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