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health technology faces new challenges amidst fierce competition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digital health technology has rapidly evolved, particularly in the wake of the COVID-19 pandemic, with a surge in applications designed to track various aspects of health including sleep, fitness, and reproductive wellness. These innovations, which involve diagnosing, monitoring, and coaching users, were released at an impressive rate of 250 per day during 2020, leading to significant investment in the sector. According to data from CB Insights, over $100 billion was funneled into the digital health field globally between 2020 and 2022. Despite these advancements, the current investment climate has grown challenging for key players in this evolving market.</w:t>
      </w:r>
      <w:r/>
    </w:p>
    <w:p>
      <w:r/>
      <w:r>
        <w:t xml:space="preserve">Competition has become increasingly fierce, particularly in the mental health sector, which has consistently attracted substantial funding. However, with a deluge of options available to patients, companies are finding it costly to both attract and retain users. This competitive environment has had tangible impacts on market valuations; for example, shares of Teladoc, which owns the prominent mental health platform BetterHelp, saw a significant drop of more than 50% in 2024. </w:t>
      </w:r>
      <w:r/>
    </w:p>
    <w:p>
      <w:r/>
      <w:r>
        <w:t>Start-ups in the digital wellness space are also facing headwinds as they compete not only with each other but also with well-established tech giants. The monumental presence of companies like Amazon poses distinct challenges, prompting some collaborations but also creating anxiety among investors. For instance, stocks of the online therapy service Talkspace surged by two-thirds since Amazon Health Services integrated it into a new service aimed at facilitating access to health insurance benefits. Conversely, shares of Hims &amp; Hers Health fell by 15% on the day Amazon announced a competing telehealth service, despite a recent boost in market value due to heightened interest in GLP-1 weight loss injections, resulting in a dramatic increase of approximately 160% to a market capitalisation nearing $5.5 billion.</w:t>
      </w:r>
      <w:r/>
    </w:p>
    <w:p>
      <w:r/>
      <w:r>
        <w:t>Investments in the digital health sector have diminished as interest rates have risen, which highlights investors’ increasing focus on pathways to profitability. Data from CB Insights indicates that equity funding for digital health has plummeted to just over a quarter of its peak in 2021. Notably, one-third of digital health investments in the first half of 2024 were allocated to start-ups that are applying artificial intelligence (AI) technologies.</w:t>
      </w:r>
      <w:r/>
    </w:p>
    <w:p>
      <w:r/>
      <w:r>
        <w:t>AI applications in medicine exhibit considerable potential, notwithstanding ongoing concerns about issues such as hallucinations, legal accountability, and data privacy. The technology presents opportunities for enhanced drug discovery and serves as a promising diagnostic tool, with substantive benefits already seen in fields like radiology and cardiology. However, for these start-ups to secure a sustainable competitive edge, they must build scale and acquire proprietary data. As illustrated, while the potential for digital health technologies is substantial, the journey to profitable and sustainable investment remains fraught with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https://www.ey.com/en_gl/insights/health/how-covid-19-has-triggered-a-sprint-toward-smarter-health-care</w:t>
        </w:r>
      </w:hyperlink>
      <w:r>
        <w:t xml:space="preserve"> - Corroborates the rapid evolution of digital health technologies during the COVID-19 pandemic, including the surge in telemedicine and remote care.</w:t>
      </w:r>
      <w:r/>
    </w:p>
    <w:p>
      <w:pPr>
        <w:pStyle w:val="ListNumber"/>
        <w:spacing w:line="240" w:lineRule="auto"/>
        <w:ind w:left="720"/>
      </w:pPr>
      <w:r/>
      <w:hyperlink r:id="rId11">
        <w:r>
          <w:rPr>
            <w:color w:val="0000EE"/>
            <w:u w:val="single"/>
          </w:rPr>
          <w:t>https://academic.oup.com/fampra/article/38/6/845/6322430?login=false</w:t>
        </w:r>
      </w:hyperlink>
      <w:r>
        <w:t xml:space="preserve"> - Supports the increased adoption of digital health technologies such as telemonitoring, wearable health devices, and remote consultations during the pandemic.</w:t>
      </w:r>
      <w:r/>
    </w:p>
    <w:p>
      <w:pPr>
        <w:pStyle w:val="ListNumber"/>
        <w:spacing w:line="240" w:lineRule="auto"/>
        <w:ind w:left="720"/>
      </w:pPr>
      <w:r/>
      <w:hyperlink r:id="rId12">
        <w:r>
          <w:rPr>
            <w:color w:val="0000EE"/>
            <w:u w:val="single"/>
          </w:rPr>
          <w:t>https://www.s3connectedhealth.com/growth-of-digital-health-covid-report-lp</w:t>
        </w:r>
      </w:hyperlink>
      <w:r>
        <w:t xml:space="preserve"> - Provides data on how digital health technology helped overcome patient fears and relieved pressure on healthcare systems during the pandemic.</w:t>
      </w:r>
      <w:r/>
    </w:p>
    <w:p>
      <w:pPr>
        <w:pStyle w:val="ListNumber"/>
        <w:spacing w:line="240" w:lineRule="auto"/>
        <w:ind w:left="720"/>
      </w:pPr>
      <w:r/>
      <w:hyperlink r:id="rId13">
        <w:r>
          <w:rPr>
            <w:color w:val="0000EE"/>
            <w:u w:val="single"/>
          </w:rPr>
          <w:t>https://informatics.bmj.com/content/27/1/e100166</w:t>
        </w:r>
      </w:hyperlink>
      <w:r>
        <w:t xml:space="preserve"> - Discusses the rapid transformations in service delivery using telehealth technologies and the impact on healthcare provision during the pandemic.</w:t>
      </w:r>
      <w:r/>
    </w:p>
    <w:p>
      <w:pPr>
        <w:pStyle w:val="ListNumber"/>
        <w:spacing w:line="240" w:lineRule="auto"/>
        <w:ind w:left="720"/>
      </w:pPr>
      <w:r/>
      <w:hyperlink r:id="rId10">
        <w:r>
          <w:rPr>
            <w:color w:val="0000EE"/>
            <w:u w:val="single"/>
          </w:rPr>
          <w:t>https://www.ey.com/en_gl/insights/health/how-covid-19-has-triggered-a-sprint-toward-smarter-health-care</w:t>
        </w:r>
      </w:hyperlink>
      <w:r>
        <w:t xml:space="preserve"> - Highlights the significant increase in telemedicine adoption by both consumers and physicians, and the long-term implications for health care organizations.</w:t>
      </w:r>
      <w:r/>
    </w:p>
    <w:p>
      <w:pPr>
        <w:pStyle w:val="ListNumber"/>
        <w:spacing w:line="240" w:lineRule="auto"/>
        <w:ind w:left="720"/>
      </w:pPr>
      <w:r/>
      <w:hyperlink r:id="rId11">
        <w:r>
          <w:rPr>
            <w:color w:val="0000EE"/>
            <w:u w:val="single"/>
          </w:rPr>
          <w:t>https://academic.oup.com/fampra/article/38/6/845/6322430?login=false</w:t>
        </w:r>
      </w:hyperlink>
      <w:r>
        <w:t xml:space="preserve"> - Mentions the practical applications and patient satisfaction levels with remote consultations, supporting the effectiveness of digital health technologies.</w:t>
      </w:r>
      <w:r/>
    </w:p>
    <w:p>
      <w:pPr>
        <w:pStyle w:val="ListNumber"/>
        <w:spacing w:line="240" w:lineRule="auto"/>
        <w:ind w:left="720"/>
      </w:pPr>
      <w:r/>
      <w:hyperlink r:id="rId12">
        <w:r>
          <w:rPr>
            <w:color w:val="0000EE"/>
            <w:u w:val="single"/>
          </w:rPr>
          <w:t>https://www.s3connectedhealth.com/growth-of-digital-health-covid-report-lp</w:t>
        </w:r>
      </w:hyperlink>
      <w:r>
        <w:t xml:space="preserve"> - Details the medical avoidance due to the pandemic and the growing appetite for digital health solutions among patients.</w:t>
      </w:r>
      <w:r/>
    </w:p>
    <w:p>
      <w:pPr>
        <w:pStyle w:val="ListNumber"/>
        <w:spacing w:line="240" w:lineRule="auto"/>
        <w:ind w:left="720"/>
      </w:pPr>
      <w:r/>
      <w:hyperlink r:id="rId13">
        <w:r>
          <w:rPr>
            <w:color w:val="0000EE"/>
            <w:u w:val="single"/>
          </w:rPr>
          <w:t>https://informatics.bmj.com/content/27/1/e100166</w:t>
        </w:r>
      </w:hyperlink>
      <w:r>
        <w:t xml:space="preserve"> - Reflects on the developments in service delivery, AI, and data sharing instilled by the COVID-19 crisis, highlighting the potential and challenges of digital health technologies.</w:t>
      </w:r>
      <w:r/>
    </w:p>
    <w:p>
      <w:pPr>
        <w:pStyle w:val="ListNumber"/>
        <w:spacing w:line="240" w:lineRule="auto"/>
        <w:ind w:left="720"/>
      </w:pPr>
      <w:r/>
      <w:hyperlink r:id="rId10">
        <w:r>
          <w:rPr>
            <w:color w:val="0000EE"/>
            <w:u w:val="single"/>
          </w:rPr>
          <w:t>https://www.ey.com/en_gl/insights/health/how-covid-19-has-triggered-a-sprint-toward-smarter-health-care</w:t>
        </w:r>
      </w:hyperlink>
      <w:r>
        <w:t xml:space="preserve"> - Discusses the future plans of physicians to accelerate the introduction of new digital technologies, indicating a long-term shift towards digital health.</w:t>
      </w:r>
      <w:r/>
    </w:p>
    <w:p>
      <w:pPr>
        <w:pStyle w:val="ListNumber"/>
        <w:spacing w:line="240" w:lineRule="auto"/>
        <w:ind w:left="720"/>
      </w:pPr>
      <w:r/>
      <w:hyperlink r:id="rId11">
        <w:r>
          <w:rPr>
            <w:color w:val="0000EE"/>
            <w:u w:val="single"/>
          </w:rPr>
          <w:t>https://academic.oup.com/fampra/article/38/6/845/6322430?login=false</w:t>
        </w:r>
      </w:hyperlink>
      <w:r>
        <w:t xml:space="preserve"> - Proposes areas of interest for further application of digital health technologies, including evidence, education, and reimbursement strategies.</w:t>
      </w:r>
      <w:r/>
    </w:p>
    <w:p>
      <w:pPr>
        <w:pStyle w:val="ListNumber"/>
        <w:spacing w:line="240" w:lineRule="auto"/>
        <w:ind w:left="720"/>
      </w:pPr>
      <w:r/>
      <w:hyperlink r:id="rId14">
        <w:r>
          <w:rPr>
            <w:color w:val="0000EE"/>
            <w:u w:val="single"/>
          </w:rPr>
          <w:t>https://www.ft.com/content/221cdff1-d6bd-46d9-a826-553b849dfe74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y.com/en_gl/insights/health/how-covid-19-has-triggered-a-sprint-toward-smarter-health-care" TargetMode="External"/><Relationship Id="rId11" Type="http://schemas.openxmlformats.org/officeDocument/2006/relationships/hyperlink" Target="https://academic.oup.com/fampra/article/38/6/845/6322430?login=false" TargetMode="External"/><Relationship Id="rId12" Type="http://schemas.openxmlformats.org/officeDocument/2006/relationships/hyperlink" Target="https://www.s3connectedhealth.com/growth-of-digital-health-covid-report-lp" TargetMode="External"/><Relationship Id="rId13" Type="http://schemas.openxmlformats.org/officeDocument/2006/relationships/hyperlink" Target="https://informatics.bmj.com/content/27/1/e100166" TargetMode="External"/><Relationship Id="rId14" Type="http://schemas.openxmlformats.org/officeDocument/2006/relationships/hyperlink" Target="https://www.ft.com/content/221cdff1-d6bd-46d9-a826-553b849dfe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