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Increasing lawsuits target digital tracking technologies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legal landscape surrounding digital tracking technologies utilised by businesses has seen a significant increase in lawsuits. These suits primarily target the deployment of tools such as pixels and session replay technology, which are commonly used to gather data concerning user interactions on websites and applications. Companies apply this data to enhance their marketing strategies and bolster user engagement; however, plaintiffs argue that such technologies record or intercept interactions without the necessary consent, violating both state and federal laws.</w:t>
      </w:r>
      <w:r/>
    </w:p>
    <w:p>
      <w:r/>
      <w:r>
        <w:t>Legal experts have identified crucial developments as these cases navigate through various courts. Plaintiffs have begun leveraging longstanding statutes such as the California Invasion of Privacy Act of 1967, the Video Privacy Protection Act of 1988, and Arizona’s Telephone, Utility, and Communication Service Records Act of 2006. These laws, originally designed for different communication modalities like telephone calls and video rental transactions, are under scrutiny as courts consider their applicability to modern tracking technologies. Numerous claims have been dismissed on the premise that recorded data does not fit statutory definitions. Still, there are emerging instances where cases proceed on grounds that users were inadequately informed regarding data collection practices due to insufficient cookie and privacy policies.</w:t>
      </w:r>
      <w:r/>
    </w:p>
    <w:p>
      <w:r/>
      <w:r>
        <w:t>The legal interpretations of tracking technology are also evolving, with discrepancies between court rulings prompting plaintiffs to broaden their wiretap litigation. A central aspect of these claims posits that third parties are effectively "eavesdropping" on user activities without obtaining proper consent. Under federal law, only one party's consent is required to record conversations; however, states like California enforce an "all-party consent" policy, necessitating agreement from all parties involved if the content recorded involves individuals with a reasonable expectation of privacy.</w:t>
      </w:r>
      <w:r/>
    </w:p>
    <w:p>
      <w:r/>
      <w:r>
        <w:t xml:space="preserve">Recent lawsuits reflect a discernible shift towards targeting the unlawful acquisition of consumer information, which includes email addresses and IP addresses. Courts are divided regarding whether technology providers constitute independent third-party eavesdroppers or integral parts of a business's operations. For instance, in the case of </w:t>
      </w:r>
      <w:r>
        <w:rPr>
          <w:i/>
        </w:rPr>
        <w:t>Vita v. New England Baptist Hospital</w:t>
      </w:r>
      <w:r>
        <w:t>, the Massachusetts highest court determined that website interactions do not fall under the state's wiretap law, which was designed to protect person-to-person conversations, illustrating the court's conservative interpretation. Meanwhile, broader interpretations in states like California continue to create opportunities for plaintiffs to pursue new legal theories.</w:t>
      </w:r>
      <w:r/>
    </w:p>
    <w:p>
      <w:r/>
      <w:r>
        <w:t>To mitigate litigation risks, the legal discourse suggests that businesses adopt proactive measures regarding their tracking practices. A comprehensive understanding of the tools they deploy is essential, as technological audits can significantly reduce the chances of being embroiled in legal disputes.</w:t>
      </w:r>
      <w:r/>
    </w:p>
    <w:p>
      <w:r/>
      <w:r>
        <w:t>Emerging defences in privacy litigation include challenging the standing of plaintiffs—the requirement for a concrete injury to establish a legal claim. Cases involving anonymised data have frequently been dismissed as they do not constitute sufficient harm. Furthermore, contrasting interpretations of whether technology providers act as independent eavesdroppers or mere extensions of a business’s operations have emerged from disparate court rulings.</w:t>
      </w:r>
      <w:r/>
    </w:p>
    <w:p>
      <w:r/>
      <w:r>
        <w:t>Consent mechanisms have also come under scrutiny, with courts differentiating between effective and flawed consent strategies. Effective consent is characterised by clear, accessible options for users, allowing them an informed choice, while flawed consent arises from ambiguous and difficult-to-read notices. Legal precedence suggests that consent mechanisms should be easily comprehensible and prominently displayed to meet legal standards.</w:t>
      </w:r>
      <w:r/>
    </w:p>
    <w:p>
      <w:r/>
      <w:r>
        <w:t>As businesses look to the future, it is imperative that they enhance their data collection transparency, develop robust consent protocols, and ensure compliance with shifting privacy regulations. Companies are encouraged to take a collaborative approach with legal experts to refine their data practices, assess risks in vendor partnerships, and implement robust consent mechanisms.</w:t>
      </w:r>
      <w:r/>
    </w:p>
    <w:p>
      <w:r/>
      <w:r>
        <w:t>Continuing to adapt to these developments will not only aid in mitigating legal challenges but should also sustain and enhance user trust, showcasing a dedication to transparency and accountability in data handling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https://www.jdsupra.com/legalnews/year-in-review-what-you-need-to-know-2512333/</w:t>
        </w:r>
      </w:hyperlink>
      <w:r>
        <w:t xml:space="preserve"> - This article supports the claim that lawsuits targeting companies for their use of digital tracking technologies have increased, and it discusses the application of outdated laws to modern tracking technologies.</w:t>
      </w:r>
      <w:r/>
    </w:p>
    <w:p>
      <w:pPr>
        <w:pStyle w:val="ListNumber"/>
        <w:spacing w:line="240" w:lineRule="auto"/>
        <w:ind w:left="720"/>
      </w:pPr>
      <w:r/>
      <w:hyperlink r:id="rId10">
        <w:r>
          <w:rPr>
            <w:color w:val="0000EE"/>
            <w:u w:val="single"/>
          </w:rPr>
          <w:t>https://www.jdsupra.com/legalnews/year-in-review-what-you-need-to-know-2512333/</w:t>
        </w:r>
      </w:hyperlink>
      <w:r>
        <w:t xml:space="preserve"> - It corroborates the use of longstanding statutes like the California Invasion of Privacy Act of 1967 and the Video Privacy Protection Act of 1988 to challenge tracking technology practices.</w:t>
      </w:r>
      <w:r/>
    </w:p>
    <w:p>
      <w:pPr>
        <w:pStyle w:val="ListNumber"/>
        <w:spacing w:line="240" w:lineRule="auto"/>
        <w:ind w:left="720"/>
      </w:pPr>
      <w:r/>
      <w:hyperlink r:id="rId10">
        <w:r>
          <w:rPr>
            <w:color w:val="0000EE"/>
            <w:u w:val="single"/>
          </w:rPr>
          <w:t>https://www.jdsupra.com/legalnews/year-in-review-what-you-need-to-know-2512333/</w:t>
        </w:r>
      </w:hyperlink>
      <w:r>
        <w:t xml:space="preserve"> - The article explains the discrepancies in court rulings regarding whether technology providers act as third-party eavesdroppers or integral parts of a business's operations.</w:t>
      </w:r>
      <w:r/>
    </w:p>
    <w:p>
      <w:pPr>
        <w:pStyle w:val="ListNumber"/>
        <w:spacing w:line="240" w:lineRule="auto"/>
        <w:ind w:left="720"/>
      </w:pPr>
      <w:r/>
      <w:hyperlink r:id="rId10">
        <w:r>
          <w:rPr>
            <w:color w:val="0000EE"/>
            <w:u w:val="single"/>
          </w:rPr>
          <w:t>https://www.jdsupra.com/legalnews/year-in-review-what-you-need-to-know-2512333/</w:t>
        </w:r>
      </w:hyperlink>
      <w:r>
        <w:t xml:space="preserve"> - It highlights the case of </w:t>
      </w:r>
      <w:r>
        <w:rPr>
          <w:i/>
        </w:rPr>
        <w:t>Vita v. New England Baptist Hospital</w:t>
      </w:r>
      <w:r>
        <w:t xml:space="preserve"> and the varying interpretations of wiretap laws across different states.</w:t>
      </w:r>
      <w:r/>
    </w:p>
    <w:p>
      <w:pPr>
        <w:pStyle w:val="ListNumber"/>
        <w:spacing w:line="240" w:lineRule="auto"/>
        <w:ind w:left="720"/>
      </w:pPr>
      <w:r/>
      <w:hyperlink r:id="rId11">
        <w:r>
          <w:rPr>
            <w:color w:val="0000EE"/>
            <w:u w:val="single"/>
          </w:rPr>
          <w:t>https://www.phelps.com/insights/avoiding-enforcement-actions-and-lawsuits-from-the-use-of-tracking-technology-on-health-care-provider-websites-applications.html</w:t>
        </w:r>
      </w:hyperlink>
      <w:r>
        <w:t xml:space="preserve"> - This article supports the claim that lawsuits are expanding, including those against Meta and other companies, and discusses the regulatory and litigation landscape around tracking technologies.</w:t>
      </w:r>
      <w:r/>
    </w:p>
    <w:p>
      <w:pPr>
        <w:pStyle w:val="ListNumber"/>
        <w:spacing w:line="240" w:lineRule="auto"/>
        <w:ind w:left="720"/>
      </w:pPr>
      <w:r/>
      <w:hyperlink r:id="rId11">
        <w:r>
          <w:rPr>
            <w:color w:val="0000EE"/>
            <w:u w:val="single"/>
          </w:rPr>
          <w:t>https://www.phelps.com/insights/avoiding-enforcement-actions-and-lawsuits-from-the-use-of-tracking-technology-on-health-care-provider-websites-applications.html</w:t>
        </w:r>
      </w:hyperlink>
      <w:r>
        <w:t xml:space="preserve"> - It corroborates the enforcement actions by the FTC and the penalties imposed on companies like GoodRx, BetterHelp, and PreMom for violating privacy laws.</w:t>
      </w:r>
      <w:r/>
    </w:p>
    <w:p>
      <w:pPr>
        <w:pStyle w:val="ListNumber"/>
        <w:spacing w:line="240" w:lineRule="auto"/>
        <w:ind w:left="720"/>
      </w:pPr>
      <w:r/>
      <w:hyperlink r:id="rId12">
        <w:r>
          <w:rPr>
            <w:color w:val="0000EE"/>
            <w:u w:val="single"/>
          </w:rPr>
          <w:t>https://www.arnoldporter.com/en/perspectives/advisories/2024/07/federal-district-court-vacates-part-of-hhs-ocr-guidance</w:t>
        </w:r>
      </w:hyperlink>
      <w:r>
        <w:t xml:space="preserve"> - This article supports the claim that the OCR's guidance on online tracking technologies has been challenged in court, particularly regarding the treatment of certain information as Protected Health Information (PHI) under HIPAA.</w:t>
      </w:r>
      <w:r/>
    </w:p>
    <w:p>
      <w:pPr>
        <w:pStyle w:val="ListNumber"/>
        <w:spacing w:line="240" w:lineRule="auto"/>
        <w:ind w:left="720"/>
      </w:pPr>
      <w:r/>
      <w:hyperlink r:id="rId12">
        <w:r>
          <w:rPr>
            <w:color w:val="0000EE"/>
            <w:u w:val="single"/>
          </w:rPr>
          <w:t>https://www.arnoldporter.com/en/perspectives/advisories/2024/07/federal-district-court-vacates-part-of-hhs-ocr-guidance</w:t>
        </w:r>
      </w:hyperlink>
      <w:r>
        <w:t xml:space="preserve"> - It explains the joint letter from OCR and the FTC warning health care providers about the privacy risks associated with online tracking technologies.</w:t>
      </w:r>
      <w:r/>
    </w:p>
    <w:p>
      <w:pPr>
        <w:pStyle w:val="ListNumber"/>
        <w:spacing w:line="240" w:lineRule="auto"/>
        <w:ind w:left="720"/>
      </w:pPr>
      <w:r/>
      <w:hyperlink r:id="rId10">
        <w:r>
          <w:rPr>
            <w:color w:val="0000EE"/>
            <w:u w:val="single"/>
          </w:rPr>
          <w:t>https://www.jdsupra.com/legalnews/year-in-review-what-you-need-to-know-2512333/</w:t>
        </w:r>
      </w:hyperlink>
      <w:r>
        <w:t xml:space="preserve"> - The article discusses the importance of clear and accessible consent mechanisms for users, aligning with the need for robust consent protocols in privacy litigation.</w:t>
      </w:r>
      <w:r/>
    </w:p>
    <w:p>
      <w:pPr>
        <w:pStyle w:val="ListNumber"/>
        <w:spacing w:line="240" w:lineRule="auto"/>
        <w:ind w:left="720"/>
      </w:pPr>
      <w:r/>
      <w:hyperlink r:id="rId11">
        <w:r>
          <w:rPr>
            <w:color w:val="0000EE"/>
            <w:u w:val="single"/>
          </w:rPr>
          <w:t>https://www.phelps.com/insights/avoiding-enforcement-actions-and-lawsuits-from-the-use-of-tracking-technology-on-health-care-provider-websites-applications.html</w:t>
        </w:r>
      </w:hyperlink>
      <w:r>
        <w:t xml:space="preserve"> - It emphasizes the need for businesses to enhance data collection transparency and ensure compliance with shifting privacy regulations to mitigate legal challenges.</w:t>
      </w:r>
      <w:r/>
    </w:p>
    <w:p>
      <w:pPr>
        <w:pStyle w:val="ListNumber"/>
        <w:spacing w:line="240" w:lineRule="auto"/>
        <w:ind w:left="720"/>
      </w:pPr>
      <w:r/>
      <w:hyperlink r:id="rId10">
        <w:r>
          <w:rPr>
            <w:color w:val="0000EE"/>
            <w:u w:val="single"/>
          </w:rPr>
          <w:t>https://www.jdsupra.com/legalnews/year-in-review-what-you-need-to-know-2512333/</w:t>
        </w:r>
      </w:hyperlink>
      <w:r>
        <w:t xml:space="preserve"> - The article highlights the importance of businesses taking a collaborative approach with legal experts to refine their data practices and assess risks in vendor partnerships.</w:t>
      </w:r>
      <w:r/>
    </w:p>
    <w:p>
      <w:pPr>
        <w:pStyle w:val="ListNumber"/>
        <w:spacing w:line="240" w:lineRule="auto"/>
        <w:ind w:left="720"/>
      </w:pPr>
      <w:r/>
      <w:hyperlink r:id="rId10">
        <w:r>
          <w:rPr>
            <w:color w:val="0000EE"/>
            <w:u w:val="single"/>
          </w:rPr>
          <w:t>https://www.jdsupra.com/legalnews/year-in-review-what-you-need-to-know-2512333/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dsupra.com/legalnews/year-in-review-what-you-need-to-know-2512333/" TargetMode="External"/><Relationship Id="rId11" Type="http://schemas.openxmlformats.org/officeDocument/2006/relationships/hyperlink" Target="https://www.phelps.com/insights/avoiding-enforcement-actions-and-lawsuits-from-the-use-of-tracking-technology-on-health-care-provider-websites-applications.html" TargetMode="External"/><Relationship Id="rId12" Type="http://schemas.openxmlformats.org/officeDocument/2006/relationships/hyperlink" Target="https://www.arnoldporter.com/en/perspectives/advisories/2024/07/federal-district-court-vacates-part-of-hhs-ocr-guid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