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Pentagon's AI Task Force signals new era in military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artificial intelligence (AI) automation within the military landscape has reached a significant milestone as the Pentagon's Chief Digital &amp; AI Office (CDAO) recently concluded its exploratory Task Force Lima. This pivotal event, which occurred on December 11, marked a departure from initial scepticism surrounding the potential of generative AI systems. With growing confidence in the technology's capabilities, the CDAO has formulated a strategy for deploying AI solutions across the Department of Defense (DoD).</w:t>
      </w:r>
      <w:r/>
    </w:p>
    <w:p>
      <w:r/>
      <w:r>
        <w:t xml:space="preserve">Despite prior concerns voiced by notable figures such as Elon Musk regarding the societal impact of Large Language Models (LLMs), a balanced perspective has emerged. Generative AI has not yet transformed daily life or achieved human-like consciousness, nor has it succumbed to issues rendering it ineffective. Instead, the technology is being recognised for its practical applications, such as summarising extensive regulatory documents and drafting procurement memoranda. </w:t>
      </w:r>
      <w:r/>
    </w:p>
    <w:p>
      <w:r/>
      <w:r>
        <w:t>The CDAO's establishment of the AI Rapid Capabilities Cell (AIRCC) with a seed funding budget of $100 million aims to expedite the integration of generative AI within military operations. This initiative builds on previous efforts, including the deployment of AI tools like NIPRGPT by the Air Force in June and Ask Sage by the Army, to create systematised frameworks that address the challenges associated with generative AI.</w:t>
      </w:r>
      <w:r/>
    </w:p>
    <w:p>
      <w:r/>
      <w:r>
        <w:t>To ensure safe and responsible utilisation, these AI systems are confined to closed Defence Department networks, such as the Army cloud and the DoD-wide NIPRnet. This restriction serves to mitigate risks of sensitive data exposure, a stark contrast to commercial platforms that often harvest user interactions for further training. Moreover, the Pentagon has implemented a strategy wherein user inputs are processed through multiple LLMs for cross-verification. Ask Sage, for instance, incorporates over 150 different models to safeguard against individual shortcomings that may arise in any single system.</w:t>
      </w:r>
      <w:r/>
    </w:p>
    <w:p>
      <w:r/>
      <w:r>
        <w:t>2024 has also seen a shift toward a more selective data curation approach. The practice, known as Retrieval Augmented Generation (RAG), ensures that generative AI systems are trained on trustworthy datasets, drawing from official governmental documents rather than unfiltered online content. This modification addresses potential vulnerabilities, including the risk of adversaries manipulating training data to undermine the efficacy of AI outputs.</w:t>
      </w:r>
      <w:r/>
    </w:p>
    <w:p>
      <w:r/>
      <w:r>
        <w:t>Although these safeguards aim to enhance the reliability of generative AI technology, the potential for error persists. Nonetheless, the measures currently in place have instilled sufficient confidence within the DoD to advance its generative AI initiatives into 2025. As the military embraces these technological innovations, the future landscape of AI automation within defence applications appears set for extensive evolution and greater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https://defensescoop.com/2024/12/11/cdao-pentagon-generative-ai-rapid-capabilities-cell-sunset-task-force-lima/</w:t>
        </w:r>
      </w:hyperlink>
      <w:r>
        <w:t xml:space="preserve"> - Corroborates the sunsetting of Task Force Lima and the establishment of the AI Rapid Capabilities Cell (AIRCC) by the Pentagon's Chief Digital and AI Office (CDAO).</w:t>
      </w:r>
      <w:r/>
    </w:p>
    <w:p>
      <w:pPr>
        <w:pStyle w:val="ListNumber"/>
        <w:spacing w:line="240" w:lineRule="auto"/>
        <w:ind w:left="720"/>
      </w:pPr>
      <w:r/>
      <w:hyperlink r:id="rId11">
        <w:r>
          <w:rPr>
            <w:color w:val="0000EE"/>
            <w:u w:val="single"/>
          </w:rPr>
          <w:t>https://insidedefense.com/daily-news/dod-establishes-new-rapid-ai-capabilities-cell-dissolves-task-force-lima</w:t>
        </w:r>
      </w:hyperlink>
      <w:r>
        <w:t xml:space="preserve"> - Supports the conclusion of Task Force Lima and the launch of the new AI Rapid Capabilities Cell, including the funding and scope of the initiative.</w:t>
      </w:r>
      <w:r/>
    </w:p>
    <w:p>
      <w:pPr>
        <w:pStyle w:val="ListNumber"/>
        <w:spacing w:line="240" w:lineRule="auto"/>
        <w:ind w:left="720"/>
      </w:pPr>
      <w:r/>
      <w:hyperlink r:id="rId12">
        <w:r>
          <w:rPr>
            <w:color w:val="0000EE"/>
            <w:u w:val="single"/>
          </w:rPr>
          <w:t>https://breakingdefense.com/2024/12/pentagon-launches-new-generative-ai-cell-with-100m-for-pilots-experiments/</w:t>
        </w:r>
      </w:hyperlink>
      <w:r>
        <w:t xml:space="preserve"> - Details the $100 million funding for the AI Rapid Capabilities Cell and the focus on implementing Task Force Lima's recommendations, including the involvement of the Defense Innovation Unit.</w:t>
      </w:r>
      <w:r/>
    </w:p>
    <w:p>
      <w:pPr>
        <w:pStyle w:val="ListNumber"/>
        <w:spacing w:line="240" w:lineRule="auto"/>
        <w:ind w:left="720"/>
      </w:pPr>
      <w:r/>
      <w:hyperlink r:id="rId10">
        <w:r>
          <w:rPr>
            <w:color w:val="0000EE"/>
            <w:u w:val="single"/>
          </w:rPr>
          <w:t>https://defensescoop.com/2024/12/11/cdao-pentagon-generative-ai-rapid-capabilities-cell-sunset-task-force-lima/</w:t>
        </w:r>
      </w:hyperlink>
      <w:r>
        <w:t xml:space="preserve"> - Explains the practical applications of generative AI, such as summarizing regulatory documents and drafting procurement memoranda, and the categorization of use cases into warfighting and enterprise management functions.</w:t>
      </w:r>
      <w:r/>
    </w:p>
    <w:p>
      <w:pPr>
        <w:pStyle w:val="ListNumber"/>
        <w:spacing w:line="240" w:lineRule="auto"/>
        <w:ind w:left="720"/>
      </w:pPr>
      <w:r/>
      <w:hyperlink r:id="rId11">
        <w:r>
          <w:rPr>
            <w:color w:val="0000EE"/>
            <w:u w:val="single"/>
          </w:rPr>
          <w:t>https://insidedefense.com/daily-news/dod-establishes-new-rapid-ai-capabilities-cell-dissolves-task-force-lima</w:t>
        </w:r>
      </w:hyperlink>
      <w:r>
        <w:t xml:space="preserve"> - Discusses the security measures and potential risks associated with generative AI, including the need to safeguard the technology and adapt government classification protocols.</w:t>
      </w:r>
      <w:r/>
    </w:p>
    <w:p>
      <w:pPr>
        <w:pStyle w:val="ListNumber"/>
        <w:spacing w:line="240" w:lineRule="auto"/>
        <w:ind w:left="720"/>
      </w:pPr>
      <w:r/>
      <w:hyperlink r:id="rId12">
        <w:r>
          <w:rPr>
            <w:color w:val="0000EE"/>
            <w:u w:val="single"/>
          </w:rPr>
          <w:t>https://breakingdefense.com/2024/12/pentagon-launches-new-generative-ai-cell-with-100m-for-pilots-experiments/</w:t>
        </w:r>
      </w:hyperlink>
      <w:r>
        <w:t xml:space="preserve"> - Mentions the selective data curation approach known as Retrieval Augmented Generation (RAG) and the use of trustworthy datasets to train generative AI systems.</w:t>
      </w:r>
      <w:r/>
    </w:p>
    <w:p>
      <w:pPr>
        <w:pStyle w:val="ListNumber"/>
        <w:spacing w:line="240" w:lineRule="auto"/>
        <w:ind w:left="720"/>
      </w:pPr>
      <w:r/>
      <w:hyperlink r:id="rId10">
        <w:r>
          <w:rPr>
            <w:color w:val="0000EE"/>
            <w:u w:val="single"/>
          </w:rPr>
          <w:t>https://defensescoop.com/2024/12/11/cdao-pentagon-generative-ai-rapid-capabilities-cell-sunset-task-force-lima/</w:t>
        </w:r>
      </w:hyperlink>
      <w:r>
        <w:t xml:space="preserve"> - Details the allocation of $100 million for research, development, test, and evaluation funding, including $35 million for frontier AI pilots and $5 million for rapid user-centric experimentation.</w:t>
      </w:r>
      <w:r/>
    </w:p>
    <w:p>
      <w:pPr>
        <w:pStyle w:val="ListNumber"/>
        <w:spacing w:line="240" w:lineRule="auto"/>
        <w:ind w:left="720"/>
      </w:pPr>
      <w:r/>
      <w:hyperlink r:id="rId11">
        <w:r>
          <w:rPr>
            <w:color w:val="0000EE"/>
            <w:u w:val="single"/>
          </w:rPr>
          <w:t>https://insidedefense.com/daily-news/dod-establishes-new-rapid-ai-capabilities-cell-dissolves-task-force-lima</w:t>
        </w:r>
      </w:hyperlink>
      <w:r>
        <w:t xml:space="preserve"> - Highlights the collaboration between the AI Rapid Capabilities Cell and other DOD organizations, such as the Defense Innovation Unit, and the focus on accelerating AI adoption.</w:t>
      </w:r>
      <w:r/>
    </w:p>
    <w:p>
      <w:pPr>
        <w:pStyle w:val="ListNumber"/>
        <w:spacing w:line="240" w:lineRule="auto"/>
        <w:ind w:left="720"/>
      </w:pPr>
      <w:r/>
      <w:hyperlink r:id="rId12">
        <w:r>
          <w:rPr>
            <w:color w:val="0000EE"/>
            <w:u w:val="single"/>
          </w:rPr>
          <w:t>https://breakingdefense.com/2024/12/pentagon-launches-new-generative-ai-cell-with-100m-for-pilots-experiments/</w:t>
        </w:r>
      </w:hyperlink>
      <w:r>
        <w:t xml:space="preserve"> - Addresses the potential for error in generative AI systems and the measures in place to enhance reliability, including cross-verification through multiple LLMs.</w:t>
      </w:r>
      <w:r/>
    </w:p>
    <w:p>
      <w:pPr>
        <w:pStyle w:val="ListNumber"/>
        <w:spacing w:line="240" w:lineRule="auto"/>
        <w:ind w:left="720"/>
      </w:pPr>
      <w:r/>
      <w:hyperlink r:id="rId10">
        <w:r>
          <w:rPr>
            <w:color w:val="0000EE"/>
            <w:u w:val="single"/>
          </w:rPr>
          <w:t>https://defensescoop.com/2024/12/11/cdao-pentagon-generative-ai-rapid-capabilities-cell-sunset-task-force-lima/</w:t>
        </w:r>
      </w:hyperlink>
      <w:r>
        <w:t xml:space="preserve"> - Explains the confinement of AI systems to closed Defence Department networks to mitigate risks of sensitive data exposure.</w:t>
      </w:r>
      <w:r/>
    </w:p>
    <w:p>
      <w:pPr>
        <w:pStyle w:val="ListNumber"/>
        <w:spacing w:line="240" w:lineRule="auto"/>
        <w:ind w:left="720"/>
      </w:pPr>
      <w:r/>
      <w:hyperlink r:id="rId13">
        <w:r>
          <w:rPr>
            <w:color w:val="0000EE"/>
            <w:u w:val="single"/>
          </w:rPr>
          <w:t>https://breakingdefense.com/2024/12/how-the-pentagon-domesticated-the-chatbot-2024-in-review/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4/12/11/cdao-pentagon-generative-ai-rapid-capabilities-cell-sunset-task-force-lima/" TargetMode="External"/><Relationship Id="rId11" Type="http://schemas.openxmlformats.org/officeDocument/2006/relationships/hyperlink" Target="https://insidedefense.com/daily-news/dod-establishes-new-rapid-ai-capabilities-cell-dissolves-task-force-lima" TargetMode="External"/><Relationship Id="rId12" Type="http://schemas.openxmlformats.org/officeDocument/2006/relationships/hyperlink" Target="https://breakingdefense.com/2024/12/pentagon-launches-new-generative-ai-cell-with-100m-for-pilots-experiments/" TargetMode="External"/><Relationship Id="rId13" Type="http://schemas.openxmlformats.org/officeDocument/2006/relationships/hyperlink" Target="https://breakingdefense.com/2024/12/how-the-pentagon-domesticated-the-chatbot-2024-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