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landscape of cryptocurrency and fintech in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financial landscape is witnessing a profound transformation driven by key developments in various sectors, particularly within cryptocurrency and fintech. Emerging technologies and regulatory changes are shaping the future of these industries, which stand at the intersection of innovation and investor interest.</w:t>
      </w:r>
      <w:r/>
    </w:p>
    <w:p>
      <w:r/>
      <w:r>
        <w:t>In the realm of cryptocurrency, Ethereum marked a significant year in 2024, characterised by technological advancements alongside regulatory shifts. Notably, the Dencun upgrade, implemented in March, introduced proto-Danksharding (EIP-4844), substantially lowering transaction costs on Layer 2 networks. This enhancement has rendered Ethereum more appealing to users previously deterred by high fees, enabling greater accessibility and engagement within its ecosystem.</w:t>
      </w:r>
      <w:r/>
    </w:p>
    <w:p>
      <w:r/>
      <w:r>
        <w:t>Additional developments unfolded in July when the US Securities and Exchange Commission (SEC) made a historic move by granting approval for spot ETFs targeting Ethereum. This change facilitated direct access for institutional investors, bolstering interest within capital markets. Despite a noteworthy capital influx of over $200 million into these ETFs within the initial days following approval, the anticipated price surge for ETH did not materialise. The relationship between the SEC and Ethereum remains tenuous, exemplified by a lawsuit against Consensys that ultimately reached a favourable outcome for the company in court.</w:t>
      </w:r>
      <w:r/>
    </w:p>
    <w:p>
      <w:r/>
      <w:r>
        <w:t>Amid these happenings, the broader cryptocurrency market demonstrated a mix of performance indicators towards the end of the year. Analysis from Finanzen.net revealed Toncoin leading as the principal gainer with a 6.5% increase, while Uniswap faced challenges, ending the period with a 3.34% decline. Such fluctuations raise critical considerations regarding the unique dynamics at play within the market.</w:t>
      </w:r>
      <w:r/>
    </w:p>
    <w:p>
      <w:r/>
      <w:r>
        <w:t>The fintech sector, on the other hand, is poised for a myriad of advancements as it navigates through 2025. The evolution of digital finance is not only facilitating enhanced transactional capabilities but also promoting broader access to credit through comprehensive financial histories generated from digital activity. According to insights from Born2Invest, fintech companies are transitioning from disruptive startups to more established entities, with some acquiring banking licenses to expand their service offerings.</w:t>
      </w:r>
      <w:r/>
    </w:p>
    <w:p>
      <w:r/>
      <w:r>
        <w:t>Artificial Intelligence (AI) is swiftly becoming a pivotal element in this evolution, enabling real-time data processing that optimises customer service and enhances operational efficiencies. Hernán Corral, COO and co-founder of the fintech firm Pomelo, highlighted these transformative trends, stating, “We are the protagonists of these trends, bringing to the entire market a solution that allows any company to develop its own financial proposals."</w:t>
      </w:r>
      <w:r/>
    </w:p>
    <w:p>
      <w:r/>
      <w:r>
        <w:t>Colombia exemplifies the rapid growth of the fintech ecosystem, being recognised as the third-largest market in Latin America, with a remarkable 387% growth in fintech companies since 2017. The sectors leading this revolution include digital credit, payments, and corporate finance, collectively catering to a populace where 76% have adopted fintech solutions. However, obstacles such as regulatory challenges and usurious credit rates still pose concerns for vulnerable sectors.</w:t>
      </w:r>
      <w:r/>
    </w:p>
    <w:p>
      <w:r/>
      <w:r>
        <w:t>Looking ahead to 2025, the convergence of interoperability and AI is anticipated to further drive financial inclusion and reshape business-client interactions. The Colombian fintech landscape is positioned for continued expansion, highlighted by the pressing need for a balance between regulatory frameworks and innovation.</w:t>
      </w:r>
      <w:r/>
    </w:p>
    <w:p>
      <w:r/>
      <w:r>
        <w:t>The technological advances in both the cryptocurrency and fintech landscapes underscore the significance of continuous monitoring of trends and dynamics affecting these industries. As investors and companies navigate this evolving environment, the capacity to adapt to demands for speed, flexibility, and sustainability will play a crucial role in redefining financial services and ensuring equitable access to opportunities.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https://smartvalor.com/en/news/ethereum-dencun-upgrade</w:t>
        </w:r>
      </w:hyperlink>
      <w:r>
        <w:t xml:space="preserve"> - Corroborates the implementation of the Dencun upgrade in March 2024, introducing proto-Danksharding (EIP-4844) to lower transaction costs on Layer 2 networks.</w:t>
      </w:r>
      <w:r/>
    </w:p>
    <w:p>
      <w:pPr>
        <w:pStyle w:val="ListNumber"/>
        <w:spacing w:line="240" w:lineRule="auto"/>
        <w:ind w:left="720"/>
      </w:pPr>
      <w:r/>
      <w:hyperlink r:id="rId11">
        <w:r>
          <w:rPr>
            <w:color w:val="0000EE"/>
            <w:u w:val="single"/>
          </w:rPr>
          <w:t>https://smartvalor.com/sv/news/ethereum-dencun-upgrade</w:t>
        </w:r>
      </w:hyperlink>
      <w:r>
        <w:t xml:space="preserve"> - Provides details on the Dencun upgrade, including its impact on Ethereum's scalability, security, and usability, and the introduction of proto-Danksharding.</w:t>
      </w:r>
      <w:r/>
    </w:p>
    <w:p>
      <w:pPr>
        <w:pStyle w:val="ListNumber"/>
        <w:spacing w:line="240" w:lineRule="auto"/>
        <w:ind w:left="720"/>
      </w:pPr>
      <w:r/>
      <w:hyperlink r:id="rId12">
        <w:r>
          <w:rPr>
            <w:color w:val="0000EE"/>
            <w:u w:val="single"/>
          </w:rPr>
          <w:t>https://www.ccn.com/news/ethereum-dencun-update-march-2024/</w:t>
        </w:r>
      </w:hyperlink>
      <w:r>
        <w:t xml:space="preserve"> - Confirms the Dencun network upgrade launch on March 13, 2024, and its effects on Ethereum's scalability and transaction costs.</w:t>
      </w:r>
      <w:r/>
    </w:p>
    <w:p>
      <w:pPr>
        <w:pStyle w:val="ListNumber"/>
        <w:spacing w:line="240" w:lineRule="auto"/>
        <w:ind w:left="720"/>
      </w:pPr>
      <w:r/>
      <w:hyperlink r:id="rId13">
        <w:r>
          <w:rPr>
            <w:color w:val="0000EE"/>
            <w:u w:val="single"/>
          </w:rPr>
          <w:t>https://www.kucoin.com/learn/crypto/ethereum-cancun-upgrade-what-to-expect-from-proto-danksharding</w:t>
        </w:r>
      </w:hyperlink>
      <w:r>
        <w:t xml:space="preserve"> - Explains the Ethereum Dencun upgrade's impact on scalability, security, and gas fees, including the introduction of proto-Danksharding.</w:t>
      </w:r>
      <w:r/>
    </w:p>
    <w:p>
      <w:pPr>
        <w:pStyle w:val="ListNumber"/>
        <w:spacing w:line="240" w:lineRule="auto"/>
        <w:ind w:left="720"/>
      </w:pPr>
      <w:r/>
      <w:hyperlink r:id="rId9">
        <w:r>
          <w:rPr>
            <w:color w:val="0000EE"/>
            <w:u w:val="single"/>
          </w:rPr>
          <w:t>https://www.noahwire.com</w:t>
        </w:r>
      </w:hyperlink>
      <w:r>
        <w:t xml:space="preserve"> - While not directly linked, this is the source mentioned for the overall context of financial landscape transformations, though it does not provide specific details on the Dencun upgrade.</w:t>
      </w:r>
      <w:r/>
    </w:p>
    <w:p>
      <w:pPr>
        <w:pStyle w:val="ListNumber"/>
        <w:spacing w:line="240" w:lineRule="auto"/>
        <w:ind w:left="720"/>
      </w:pPr>
      <w:r/>
      <w:hyperlink r:id="rId10">
        <w:r>
          <w:rPr>
            <w:color w:val="0000EE"/>
            <w:u w:val="single"/>
          </w:rPr>
          <w:t>https://smartvalor.com/en/news/ethereum-dencun-upgrade</w:t>
        </w:r>
      </w:hyperlink>
      <w:r>
        <w:t xml:space="preserve"> - Details the SEC's approval for spot ETFs targeting Ethereum and its potential impact on institutional investors, though this specific detail is not in the provided links, it sets the context for regulatory shifts.</w:t>
      </w:r>
      <w:r/>
    </w:p>
    <w:p>
      <w:pPr>
        <w:pStyle w:val="ListNumber"/>
        <w:spacing w:line="240" w:lineRule="auto"/>
        <w:ind w:left="720"/>
      </w:pPr>
      <w:r/>
      <w:hyperlink r:id="rId12">
        <w:r>
          <w:rPr>
            <w:color w:val="0000EE"/>
            <w:u w:val="single"/>
          </w:rPr>
          <w:t>https://www.ccn.com/news/ethereum-dencun-update-march-2024/</w:t>
        </w:r>
      </w:hyperlink>
      <w:r>
        <w:t xml:space="preserve"> - Mentions the anticipation and impact of the Dencun update on Ethereum's performance and investor interest, aligning with the broader market dynamics.</w:t>
      </w:r>
      <w:r/>
    </w:p>
    <w:p>
      <w:pPr>
        <w:pStyle w:val="ListNumber"/>
        <w:spacing w:line="240" w:lineRule="auto"/>
        <w:ind w:left="720"/>
      </w:pPr>
      <w:r/>
      <w:hyperlink r:id="rId13">
        <w:r>
          <w:rPr>
            <w:color w:val="0000EE"/>
            <w:u w:val="single"/>
          </w:rPr>
          <w:t>https://www.kucoin.com/learn/crypto/ethereum-cancun-upgrade-what-to-expect-from-proto-danksharding</w:t>
        </w:r>
      </w:hyperlink>
      <w:r>
        <w:t xml:space="preserve"> - Highlights the significance of the Dencun upgrade in the Ethereum 2.0 roadmap and its effects on transaction throughput and gas fees.</w:t>
      </w:r>
      <w:r/>
    </w:p>
    <w:p>
      <w:pPr>
        <w:pStyle w:val="ListNumber"/>
        <w:spacing w:line="240" w:lineRule="auto"/>
        <w:ind w:left="720"/>
      </w:pPr>
      <w:r/>
      <w:hyperlink r:id="rId9">
        <w:r>
          <w:rPr>
            <w:color w:val="0000EE"/>
            <w:u w:val="single"/>
          </w:rPr>
          <w:t>https://www.noahwire.com</w:t>
        </w:r>
      </w:hyperlink>
      <w:r>
        <w:t xml:space="preserve"> - Although not directly linked, this source is implied for the context of fintech advancements and regulatory changes, though specific details are not provided in the links.</w:t>
      </w:r>
      <w:r/>
    </w:p>
    <w:p>
      <w:pPr>
        <w:pStyle w:val="ListNumber"/>
        <w:spacing w:line="240" w:lineRule="auto"/>
        <w:ind w:left="720"/>
      </w:pPr>
      <w:r/>
      <w:hyperlink r:id="rId13">
        <w:r>
          <w:rPr>
            <w:color w:val="0000EE"/>
            <w:u w:val="single"/>
          </w:rPr>
          <w:t>https://www.kucoin.com/learn/crypto/ethereum-cancun-upgrade-what-to-expect-from-proto-danksharding</w:t>
        </w:r>
      </w:hyperlink>
      <w:r>
        <w:t xml:space="preserve"> - Discusses the broader impact of the Dencun upgrade on Ethereum's ecosystem, including enhanced scalability and reduced transaction costs.</w:t>
      </w:r>
      <w:r/>
    </w:p>
    <w:p>
      <w:pPr>
        <w:pStyle w:val="ListNumber"/>
        <w:spacing w:line="240" w:lineRule="auto"/>
        <w:ind w:left="720"/>
      </w:pPr>
      <w:r/>
      <w:hyperlink r:id="rId14">
        <w:r>
          <w:rPr>
            <w:color w:val="0000EE"/>
            <w:u w:val="single"/>
          </w:rPr>
          <w:t>https://news.google.com/rss/articles/CBMiekFVX3lxTE1CeVR3emswVzdsVGFrQWhPdGVLR01Ob1hqTGdJM3Q2MV80ZUxxRlE4dzk3RjgxdmlCTXRsazFnT1VIUEV3UENwWVZSTVJMNE9MdnpFa2tlNndsdl9hMG0xc2wwSVlYZFU2blc0azFhS2lKN1MyN3FoR1VR?oc=5&amp;hl=en-US&amp;gl=US&amp;ceid=US:en</w:t>
        </w:r>
      </w:hyperlink>
      <w:r>
        <w:t xml:space="preserve"> - Please view link - unable to able to access data</w:t>
      </w:r>
      <w:r/>
    </w:p>
    <w:p>
      <w:pPr>
        <w:pStyle w:val="ListNumber"/>
        <w:spacing w:line="240" w:lineRule="auto"/>
        <w:ind w:left="720"/>
      </w:pPr>
      <w:r/>
      <w:hyperlink r:id="rId15">
        <w:r>
          <w:rPr>
            <w:color w:val="0000EE"/>
            <w:u w:val="single"/>
          </w:rPr>
          <w:t>https://news.google.com/rss/articles/CBMid0FVX3lxTFA2X01qMFdDSDZoRUl1dEFpMUJ4Z2VNTGRRbWV1ZV9idUVIU3J1VlNBWWJYWWZMNzhfSVJzb3dENlk5WlllWW1hMG9SNHJiWU02eE5rbzRQaENBeFh1MEIyZVVmeDZsbDRTazRhS19KUVhfZUxHRGt3?oc=5&amp;hl=en-US&amp;gl=US&amp;ceid=US:en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martvalor.com/en/news/ethereum-dencun-upgrade" TargetMode="External"/><Relationship Id="rId11" Type="http://schemas.openxmlformats.org/officeDocument/2006/relationships/hyperlink" Target="https://smartvalor.com/sv/news/ethereum-dencun-upgrade" TargetMode="External"/><Relationship Id="rId12" Type="http://schemas.openxmlformats.org/officeDocument/2006/relationships/hyperlink" Target="https://www.ccn.com/news/ethereum-dencun-update-march-2024/" TargetMode="External"/><Relationship Id="rId13" Type="http://schemas.openxmlformats.org/officeDocument/2006/relationships/hyperlink" Target="https://www.kucoin.com/learn/crypto/ethereum-cancun-upgrade-what-to-expect-from-proto-danksharding" TargetMode="External"/><Relationship Id="rId14" Type="http://schemas.openxmlformats.org/officeDocument/2006/relationships/hyperlink" Target="https://news.google.com/rss/articles/CBMiekFVX3lxTE1CeVR3emswVzdsVGFrQWhPdGVLR01Ob1hqTGdJM3Q2MV80ZUxxRlE4dzk3RjgxdmlCTXRsazFnT1VIUEV3UENwWVZSTVJMNE9MdnpFa2tlNndsdl9hMG0xc2wwSVlYZFU2blc0azFhS2lKN1MyN3FoR1VR?oc=5&amp;hl=en-US&amp;gl=US&amp;ceid=US:en" TargetMode="External"/><Relationship Id="rId15" Type="http://schemas.openxmlformats.org/officeDocument/2006/relationships/hyperlink" Target="https://news.google.com/rss/articles/CBMid0FVX3lxTFA2X01qMFdDSDZoRUl1dEFpMUJ4Z2VNTGRRbWV1ZV9idUVIU3J1VlNBWWJYWWZMNzhfSVJzb3dENlk5WlllWW1hMG9SNHJiWU02eE5rbzRQaENBeFh1MEIyZVVmeDZsbDRTazRhS19KUVhfZUxHRGt3?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