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impact of AI and biotechnology on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on emerging trends, the spotlight has turned to the influence of artificial intelligence (AI) and biotechnology on businesses. A notable framework for understanding these shifts is presented in Jamie Metzl's recently published work, "Superconvergence." Metzl, a futurist who has consulted with esteemed organisations such as the U.S. National Security Council and the United Nations, posits that the 21st century will centre on human-engineered intelligence and reengineered biology.</w:t>
      </w:r>
      <w:r/>
    </w:p>
    <w:p>
      <w:r/>
      <w:r>
        <w:t>According to Metzl, "If the 19th was the century of chemistry and the 20th that of physics, the 21st is clearly the century of human-engineered intelligence and reengineered biology.” This perspective is crucial as it reflects the ongoing evolution in industries driven by advancements in biotechnology and AI. Companies are projected to benefit from new biomaterials, biomanufacturing processes, bioengineered medicines, biofuels, and innovations in biocomputing, signalling a transformative era for various sectors.</w:t>
      </w:r>
      <w:r/>
    </w:p>
    <w:p>
      <w:r/>
      <w:r>
        <w:t>However, the crux of Metzl's argument underscores the significance of maintaining a broader awareness of emerging threats and opportunities that may not yet be immediately visible, which he refers to as "peripheral vision." He notes that as business dynamics accelerate, leaders often become narrowly focused on immediate challenges, neglecting potential game-changers in the periphery. To counteract this trend, Metzl advises corporate leaders to dedicate annual board meetings to explore these peripheral threats and opportunities, specifically addressing developments in AI, data analysis, chemistry, and medicine, rather than limiting discussions to current tactical issues.</w:t>
      </w:r>
      <w:r/>
    </w:p>
    <w:p>
      <w:r/>
      <w:r>
        <w:t>A cautionary tale shared by Metzl highlights the downfall of Nokia, once a leader in the mobile phone industry. As the company was preoccupied with competing against Blackberry's keyboard-centric smartphones, it failed to recognise the threat posed by Apple's iPhone, which introduced a revolutionary touchscreen interface. Opting to enhance its creations without considering the broader landscape, Nokia's oversight of this peripheral competitor ultimately led to its decline in the market.</w:t>
      </w:r>
      <w:r/>
    </w:p>
    <w:p>
      <w:r/>
      <w:r>
        <w:t>Metzl's recommendations emphasise the urgency for businesses to broaden their perspective to stay relevant. The notion of maintaining "eyes on the ball" can be detrimental, with a focus on immediate concerns potentially blinding leaders to transformative changes within their industries. The narrative around AI and biotechnology is evolving rapidly, and corporations are compelled to rethink their approach to encompass not just present challenges, but also future possibilities brought forth by these advancing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https://www.goodreads.com/book/show/200105856-superconvergence</w:t>
        </w:r>
      </w:hyperlink>
      <w:r>
        <w:t xml:space="preserve"> - Corroborates Jamie Metzl's book 'Superconvergence' and its focus on the convergence of AI, biotechnology, and genetics.</w:t>
      </w:r>
      <w:r/>
    </w:p>
    <w:p>
      <w:pPr>
        <w:pStyle w:val="ListNumber"/>
        <w:spacing w:line="240" w:lineRule="auto"/>
        <w:ind w:left="720"/>
      </w:pPr>
      <w:r/>
      <w:hyperlink r:id="rId11">
        <w:r>
          <w:rPr>
            <w:color w:val="0000EE"/>
            <w:u w:val="single"/>
          </w:rPr>
          <w:t>https://www.changemakertalent.com/speakers/jamie-metzl</w:t>
        </w:r>
      </w:hyperlink>
      <w:r>
        <w:t xml:space="preserve"> - Provides background on Jamie Metzl's credentials and his work on the intersection of genetics, biotech, and AI.</w:t>
      </w:r>
      <w:r/>
    </w:p>
    <w:p>
      <w:pPr>
        <w:pStyle w:val="ListNumber"/>
        <w:spacing w:line="240" w:lineRule="auto"/>
        <w:ind w:left="720"/>
      </w:pPr>
      <w:r/>
      <w:hyperlink r:id="rId11">
        <w:r>
          <w:rPr>
            <w:color w:val="0000EE"/>
            <w:u w:val="single"/>
          </w:rPr>
          <w:t>https://www.changemakertalent.com/speakers/jamie-metzl</w:t>
        </w:r>
      </w:hyperlink>
      <w:r>
        <w:t xml:space="preserve"> - Details Metzl's experience consulting with organizations such as the U.S. National Security Council and the United Nations.</w:t>
      </w:r>
      <w:r/>
    </w:p>
    <w:p>
      <w:pPr>
        <w:pStyle w:val="ListNumber"/>
        <w:spacing w:line="240" w:lineRule="auto"/>
        <w:ind w:left="720"/>
      </w:pPr>
      <w:r/>
      <w:hyperlink r:id="rId12">
        <w:r>
          <w:rPr>
            <w:color w:val="0000EE"/>
            <w:u w:val="single"/>
          </w:rPr>
          <w:t>https://convention.bio.org/sessions/superconvergence-ai-genetics-biotechnology-revolutions-transform-lives-work-world</w:t>
        </w:r>
      </w:hyperlink>
      <w:r>
        <w:t xml:space="preserve"> - Supports the idea that the 21st century is centered on human-engineered intelligence and reengineered biology, as discussed in 'Superconvergence'.</w:t>
      </w:r>
      <w:r/>
    </w:p>
    <w:p>
      <w:pPr>
        <w:pStyle w:val="ListNumber"/>
        <w:spacing w:line="240" w:lineRule="auto"/>
        <w:ind w:left="720"/>
      </w:pPr>
      <w:r/>
      <w:hyperlink r:id="rId12">
        <w:r>
          <w:rPr>
            <w:color w:val="0000EE"/>
            <w:u w:val="single"/>
          </w:rPr>
          <w:t>https://convention.bio.org/sessions/superconvergence-ai-genetics-biotechnology-revolutions-transform-lives-work-world</w:t>
        </w:r>
      </w:hyperlink>
      <w:r>
        <w:t xml:space="preserve"> - Highlights the transformative impact of AI, genetics, and biotechnology on various industries and aspects of life.</w:t>
      </w:r>
      <w:r/>
    </w:p>
    <w:p>
      <w:pPr>
        <w:pStyle w:val="ListNumber"/>
        <w:spacing w:line="240" w:lineRule="auto"/>
        <w:ind w:left="720"/>
      </w:pPr>
      <w:r/>
      <w:hyperlink r:id="rId13">
        <w:r>
          <w:rPr>
            <w:color w:val="0000EE"/>
            <w:u w:val="single"/>
          </w:rPr>
          <w:t>https://us.londonspeakerbureau.com/speaker-profile/jamie-metzl/</w:t>
        </w:r>
      </w:hyperlink>
      <w:r>
        <w:t xml:space="preserve"> - Provides additional context on Jamie Metzl's expertise in genetics, virtual reality, and international affairs.</w:t>
      </w:r>
      <w:r/>
    </w:p>
    <w:p>
      <w:pPr>
        <w:pStyle w:val="ListNumber"/>
        <w:spacing w:line="240" w:lineRule="auto"/>
        <w:ind w:left="720"/>
      </w:pPr>
      <w:r/>
      <w:hyperlink r:id="rId13">
        <w:r>
          <w:rPr>
            <w:color w:val="0000EE"/>
            <w:u w:val="single"/>
          </w:rPr>
          <w:t>https://us.londonspeakerbureau.com/speaker-profile/jamie-metzl/</w:t>
        </w:r>
      </w:hyperlink>
      <w:r>
        <w:t xml:space="preserve"> - Details Metzl's roles in various organizations, including the Asia Society and the U.S. Senate Foreign Relations Committee.</w:t>
      </w:r>
      <w:r/>
    </w:p>
    <w:p>
      <w:pPr>
        <w:pStyle w:val="ListNumber"/>
        <w:spacing w:line="240" w:lineRule="auto"/>
        <w:ind w:left="720"/>
      </w:pPr>
      <w:r/>
      <w:hyperlink r:id="rId10">
        <w:r>
          <w:rPr>
            <w:color w:val="0000EE"/>
            <w:u w:val="single"/>
          </w:rPr>
          <w:t>https://www.goodreads.com/book/show/200105856-superconvergence</w:t>
        </w:r>
      </w:hyperlink>
      <w:r>
        <w:t xml:space="preserve"> - Explains Metzl's concept of 'superconvergence' and its implications for societal structures and human potential.</w:t>
      </w:r>
      <w:r/>
    </w:p>
    <w:p>
      <w:pPr>
        <w:pStyle w:val="ListNumber"/>
        <w:spacing w:line="240" w:lineRule="auto"/>
        <w:ind w:left="720"/>
      </w:pPr>
      <w:r/>
      <w:hyperlink r:id="rId11">
        <w:r>
          <w:rPr>
            <w:color w:val="0000EE"/>
            <w:u w:val="single"/>
          </w:rPr>
          <w:t>https://www.changemakertalent.com/speakers/jamie-metzl</w:t>
        </w:r>
      </w:hyperlink>
      <w:r>
        <w:t xml:space="preserve"> - Discusses the importance of 'peripheral vision' in addressing emerging threats and opportunities, as advised by Metzl.</w:t>
      </w:r>
      <w:r/>
    </w:p>
    <w:p>
      <w:pPr>
        <w:pStyle w:val="ListNumber"/>
        <w:spacing w:line="240" w:lineRule="auto"/>
        <w:ind w:left="720"/>
      </w:pPr>
      <w:r/>
      <w:hyperlink r:id="rId12">
        <w:r>
          <w:rPr>
            <w:color w:val="0000EE"/>
            <w:u w:val="single"/>
          </w:rPr>
          <w:t>https://convention.bio.org/sessions/superconvergence-ai-genetics-biotechnology-revolutions-transform-lives-work-world</w:t>
        </w:r>
      </w:hyperlink>
      <w:r>
        <w:t xml:space="preserve"> - Emphasizes the need for corporate leaders to explore peripheral threats and opportunities in AI, data analysis, chemistry, and medicine.</w:t>
      </w:r>
      <w:r/>
    </w:p>
    <w:p>
      <w:pPr>
        <w:pStyle w:val="ListNumber"/>
        <w:spacing w:line="240" w:lineRule="auto"/>
        <w:ind w:left="720"/>
      </w:pPr>
      <w:r/>
      <w:hyperlink r:id="rId10">
        <w:r>
          <w:rPr>
            <w:color w:val="0000EE"/>
            <w:u w:val="single"/>
          </w:rPr>
          <w:t>https://www.goodreads.com/book/show/200105856-superconvergence</w:t>
        </w:r>
      </w:hyperlink>
      <w:r>
        <w:t xml:space="preserve"> - Illustrates the cautionary tale of Nokia's decline due to overlooking peripheral competitors, as discussed in Metzl's work.</w:t>
      </w:r>
      <w:r/>
    </w:p>
    <w:p>
      <w:pPr>
        <w:pStyle w:val="ListNumber"/>
        <w:spacing w:line="240" w:lineRule="auto"/>
        <w:ind w:left="720"/>
      </w:pPr>
      <w:r/>
      <w:hyperlink r:id="rId14">
        <w:r>
          <w:rPr>
            <w:color w:val="0000EE"/>
            <w:u w:val="single"/>
          </w:rPr>
          <w:t>https://www.psychologytoday.com/us/blog/platform-for-success/202501/beware-when-told-to-keep-your-eyes-on-the-ball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odreads.com/book/show/200105856-superconvergence" TargetMode="External"/><Relationship Id="rId11" Type="http://schemas.openxmlformats.org/officeDocument/2006/relationships/hyperlink" Target="https://www.changemakertalent.com/speakers/jamie-metzl" TargetMode="External"/><Relationship Id="rId12" Type="http://schemas.openxmlformats.org/officeDocument/2006/relationships/hyperlink" Target="https://convention.bio.org/sessions/superconvergence-ai-genetics-biotechnology-revolutions-transform-lives-work-world" TargetMode="External"/><Relationship Id="rId13" Type="http://schemas.openxmlformats.org/officeDocument/2006/relationships/hyperlink" Target="https://us.londonspeakerbureau.com/speaker-profile/jamie-metzl/" TargetMode="External"/><Relationship Id="rId14" Type="http://schemas.openxmlformats.org/officeDocument/2006/relationships/hyperlink" Target="https://www.psychologytoday.com/us/blog/platform-for-success/202501/beware-when-told-to-keep-your-eyes-on-the-b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