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mergers and acquisitions may drive shift towards cryptocurrency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corporate mergers and acquisitions (M&amp;A) is poised for significant change as the potential return of the Trump administration may ignite a flurry of activity, with implications that could extend to the adoption of cryptocurrency. Hunter Horsley, the CEO of Bitwise Asset Management, suggests that an upsurge in M&amp;A deals is likely to drive individuals towards digital assets as they may increasingly perceive decentralised systems as more advantageous over centralised institutions that might not act in their best interests.</w:t>
      </w:r>
      <w:r/>
    </w:p>
    <w:p>
      <w:r/>
      <w:r>
        <w:t>According to Horsley, speaking to Crypto Briefing, "The conceptual premise of crypto is not trusting large institutions to do what’s in your best interest. The big getting bigger accentuates this." This statement highlights the growing concern over the concentration of corporate power, which he believes may push consumers and investors alike towards cryptocurrencies. As corporations consolidate their market power, this could further foster the belief in the need for decentralisation.</w:t>
      </w:r>
      <w:r/>
    </w:p>
    <w:p>
      <w:r/>
      <w:r>
        <w:t>Data from Dealogic indicates that M&amp;A activity had been stagnating prior to this anticipated resurgence, with only a modest increase in total deals announced in 2024, reaching $1.4 trillion, a figure still below pre-pandemic levels. The year ahead is expected to set the stage for a substantial revival in M&amp;A, driven in part by a more favourable economic environment, lower interest rates, and shifts in regulatory landscapes that may be instituted under a Trump presidency.</w:t>
      </w:r>
      <w:r/>
    </w:p>
    <w:p>
      <w:r/>
      <w:r>
        <w:t>Horsley speculates that 2025 could witness a pivotal moment in this regard, with industry giants potentially using their substantial market capitalisation to pursue significant acquisitions. "Large corporates — mag 7, etc — may finally be able to wield their market cap. Amazon could buy Instacart. Google could buy Uber," Horsley remarked, pointing to the capacity of large companies to dominate their respective sectors.</w:t>
      </w:r>
      <w:r/>
    </w:p>
    <w:p>
      <w:r/>
      <w:r>
        <w:t>As consolidation appears to be on the horizon, which could marginalise mid-sized firms unable to compete against such formidable entities, the reliance on traditional institutions may diminish. This change could further bolster the appeal and adoption of cryptocurrencies, which are rooted in the principle of minimising trust in large organisations. The trajectory towards a more decentralised financial landscape thus seems likely to gain momentum alongside an upswing in corporate mergers and acquisitions.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https://www.goldmansachs.com/what-we-do/investment-banking/insights/articles/2025-ma-outlook/report.pdf</w:t>
        </w:r>
      </w:hyperlink>
      <w:r>
        <w:t xml:space="preserve"> - This report from Goldman Sachs provides insights into the expected resurgence in M&amp;A activity in 2025, driven by factors such as rebounding sponsor activity, normalization of monetary policy and regulation, and a growing desire for corporate transformation.</w:t>
      </w:r>
      <w:r/>
    </w:p>
    <w:p>
      <w:pPr>
        <w:pStyle w:val="ListNumber"/>
        <w:spacing w:line="240" w:lineRule="auto"/>
        <w:ind w:left="720"/>
      </w:pPr>
      <w:r/>
      <w:hyperlink r:id="rId11">
        <w:r>
          <w:rPr>
            <w:color w:val="0000EE"/>
            <w:u w:val="single"/>
          </w:rPr>
          <w:t>https://deandorton.com/navigating-the-ma-landscape-a-bankers-perspective-on-2025/</w:t>
        </w:r>
      </w:hyperlink>
      <w:r>
        <w:t xml:space="preserve"> - This article discusses the potential turning point in the M&amp;A landscape in 2025, including the role of private equity firms, improving credit markets, and the impact of demographic factors on the market.</w:t>
      </w:r>
      <w:r/>
    </w:p>
    <w:p>
      <w:pPr>
        <w:pStyle w:val="ListNumber"/>
        <w:spacing w:line="240" w:lineRule="auto"/>
        <w:ind w:left="720"/>
      </w:pPr>
      <w:r/>
      <w:hyperlink r:id="rId10">
        <w:r>
          <w:rPr>
            <w:color w:val="0000EE"/>
            <w:u w:val="single"/>
          </w:rPr>
          <w:t>https://www.goldmansachs.com/what-we-do/investment-banking/insights/articles/2025-ma-outlook/report.pdf</w:t>
        </w:r>
      </w:hyperlink>
      <w:r>
        <w:t xml:space="preserve"> - The report highlights the shift towards growth-focused sectors such as technology, consumer, and healthcare, and the expectation of a meaningful pickup in large-scale transactions in these sectors.</w:t>
      </w:r>
      <w:r/>
    </w:p>
    <w:p>
      <w:pPr>
        <w:pStyle w:val="ListNumber"/>
        <w:spacing w:line="240" w:lineRule="auto"/>
        <w:ind w:left="720"/>
      </w:pPr>
      <w:r/>
      <w:hyperlink r:id="rId11">
        <w:r>
          <w:rPr>
            <w:color w:val="0000EE"/>
            <w:u w:val="single"/>
          </w:rPr>
          <w:t>https://deandorton.com/navigating-the-ma-landscape-a-bankers-perspective-on-2025/</w:t>
        </w:r>
      </w:hyperlink>
      <w:r>
        <w:t xml:space="preserve"> - This source details the historical trends in M&amp;A cycles and the pent-up demand that suggests 2025 could mark the beginning of a new M&amp;A cycle, driven by factors like dry powder and demographic changes.</w:t>
      </w:r>
      <w:r/>
    </w:p>
    <w:p>
      <w:pPr>
        <w:pStyle w:val="ListNumber"/>
        <w:spacing w:line="240" w:lineRule="auto"/>
        <w:ind w:left="720"/>
      </w:pPr>
      <w:r/>
      <w:hyperlink r:id="rId10">
        <w:r>
          <w:rPr>
            <w:color w:val="0000EE"/>
            <w:u w:val="single"/>
          </w:rPr>
          <w:t>https://www.goldmansachs.com/what-we-do/investment-banking/insights/articles/2025-ma-outlook/report.pdf</w:t>
        </w:r>
      </w:hyperlink>
      <w:r>
        <w:t xml:space="preserve"> - The report mentions the rise in $10B+ deals and the expectation that regulatory concerns will abate, leading to increased M&amp;A activity in sectors like technology, healthcare, and financials.</w:t>
      </w:r>
      <w:r/>
    </w:p>
    <w:p>
      <w:pPr>
        <w:pStyle w:val="ListNumber"/>
        <w:spacing w:line="240" w:lineRule="auto"/>
        <w:ind w:left="720"/>
      </w:pPr>
      <w:r/>
      <w:hyperlink r:id="rId11">
        <w:r>
          <w:rPr>
            <w:color w:val="0000EE"/>
            <w:u w:val="single"/>
          </w:rPr>
          <w:t>https://deandorton.com/navigating-the-ma-landscape-a-bankers-perspective-on-2025/</w:t>
        </w:r>
      </w:hyperlink>
      <w:r>
        <w:t xml:space="preserve"> - This article discusses how private equity firms are gearing up for larger 'platform' transactions, which has already begun to take hold in 2024 with a 24% increase in private equity volumes.</w:t>
      </w:r>
      <w:r/>
    </w:p>
    <w:p>
      <w:pPr>
        <w:pStyle w:val="ListNumber"/>
        <w:spacing w:line="240" w:lineRule="auto"/>
        <w:ind w:left="720"/>
      </w:pPr>
      <w:r/>
      <w:hyperlink r:id="rId10">
        <w:r>
          <w:rPr>
            <w:color w:val="0000EE"/>
            <w:u w:val="single"/>
          </w:rPr>
          <w:t>https://www.goldmansachs.com/what-we-do/investment-banking/insights/articles/2025-ma-outlook/report.pdf</w:t>
        </w:r>
      </w:hyperlink>
      <w:r>
        <w:t xml:space="preserve"> - The report notes that corporate simplifications continue to fuel M&amp;A, with companies looking to highlight undervalued assets, separate divergent businesses, and sharpen geographic focus.</w:t>
      </w:r>
      <w:r/>
    </w:p>
    <w:p>
      <w:pPr>
        <w:pStyle w:val="ListNumber"/>
        <w:spacing w:line="240" w:lineRule="auto"/>
        <w:ind w:left="720"/>
      </w:pPr>
      <w:r/>
      <w:hyperlink r:id="rId11">
        <w:r>
          <w:rPr>
            <w:color w:val="0000EE"/>
            <w:u w:val="single"/>
          </w:rPr>
          <w:t>https://deandorton.com/navigating-the-ma-landscape-a-bankers-perspective-on-2025/</w:t>
        </w:r>
      </w:hyperlink>
      <w:r>
        <w:t xml:space="preserve"> - This source explains the pressure on private equity firms to deploy capital due to record levels of dry powder and improving credit markets, which is expected to drive aggressive deal-making in 2025.</w:t>
      </w:r>
      <w:r/>
    </w:p>
    <w:p>
      <w:pPr>
        <w:pStyle w:val="ListNumber"/>
        <w:spacing w:line="240" w:lineRule="auto"/>
        <w:ind w:left="720"/>
      </w:pPr>
      <w:r/>
      <w:hyperlink r:id="rId10">
        <w:r>
          <w:rPr>
            <w:color w:val="0000EE"/>
            <w:u w:val="single"/>
          </w:rPr>
          <w:t>https://www.goldmansachs.com/what-we-do/investment-banking/insights/articles/2025-ma-outlook/report.pdf</w:t>
        </w:r>
      </w:hyperlink>
      <w:r>
        <w:t xml:space="preserve"> - The report highlights the growing importance of strategic growth and the addition of new capabilities as primary drivers of 2025 M&amp;A decisions, particularly among private corporates.</w:t>
      </w:r>
      <w:r/>
    </w:p>
    <w:p>
      <w:pPr>
        <w:pStyle w:val="ListNumber"/>
        <w:spacing w:line="240" w:lineRule="auto"/>
        <w:ind w:left="720"/>
      </w:pPr>
      <w:r/>
      <w:hyperlink r:id="rId11">
        <w:r>
          <w:rPr>
            <w:color w:val="0000EE"/>
            <w:u w:val="single"/>
          </w:rPr>
          <w:t>https://deandorton.com/navigating-the-ma-landscape-a-bankers-perspective-on-2025/</w:t>
        </w:r>
      </w:hyperlink>
      <w:r>
        <w:t xml:space="preserve"> - This article discusses the impact of demographic factors, such as aging business owners, which are pushing more sellers to the market and contributing to the anticipated M&amp;A resurgence.</w:t>
      </w:r>
      <w:r/>
    </w:p>
    <w:p>
      <w:pPr>
        <w:pStyle w:val="ListNumber"/>
        <w:spacing w:line="240" w:lineRule="auto"/>
        <w:ind w:left="720"/>
      </w:pPr>
      <w:r/>
      <w:hyperlink r:id="rId12">
        <w:r>
          <w:rPr>
            <w:color w:val="0000EE"/>
            <w:u w:val="single"/>
          </w:rPr>
          <w:t>https://news.google.com/rss/articles/CBMibEFVX3lxTE5IdHdoUTFiZ1ZtUXFEMmdRSHh0QWNRTG5NOUg5MmdxZ21LcWJ6M3I2cmc0ODdmazdBd2RYMkVJeng4anB6V2ZIcHc2ZTlEOHNSOTZHN0d1VnZtV2ZDTGUxSWFqSlR6WWlqV0NKdg?oc=5&amp;hl=en-US&amp;gl=US&amp;ceid=US:en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ldmansachs.com/what-we-do/investment-banking/insights/articles/2025-ma-outlook/report.pdf" TargetMode="External"/><Relationship Id="rId11" Type="http://schemas.openxmlformats.org/officeDocument/2006/relationships/hyperlink" Target="https://deandorton.com/navigating-the-ma-landscape-a-bankers-perspective-on-2025/" TargetMode="External"/><Relationship Id="rId12" Type="http://schemas.openxmlformats.org/officeDocument/2006/relationships/hyperlink" Target="https://news.google.com/rss/articles/CBMibEFVX3lxTE5IdHdoUTFiZ1ZtUXFEMmdRSHh0QWNRTG5NOUg5MmdxZ21LcWJ6M3I2cmc0ODdmazdBd2RYMkVJeng4anB6V2ZIcHc2ZTlEOHNSOTZHN0d1VnZtV2ZDTGUxSWFqSlR6WWlqV0NK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