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Vitalik Buterin proposes a temporary global pause on AI computing power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Vitalik Buterin, co-founder of Ethereum, has put forth a provocative idea in a recent blog post dated January 5, 2024, addressing the growing concern surrounding superintelligent artificial intelligence (AI). Buterin proposes a "soft pause" on global computing power, suggesting a temporary reduction of industrial-scale computing capacity by as much as 99% for a duration of one to two years. This radical measure is intended to provide humanity with additional time to prepare for the potential risks associated with the emergence of dangerous AI forms.</w:t>
      </w:r>
      <w:r/>
    </w:p>
    <w:p>
      <w:r/>
      <w:r>
        <w:t>In his exploration of this concept, Buterin outlined a plan that includes the installation of specialized hardware controls in industrial-scale AI systems. These controls would require periodic approval from international bodies to continue operation, a process that Buterin described would necessitate three signatures, verifiable through blockchain technology. He indicated that while he would only endorse such measures in the event that simpler solutions proved inadequate, he also expressed scepticism about the effectiveness of legal liability for developers in mitigating the risks posed by AI.</w:t>
      </w:r>
      <w:r/>
    </w:p>
    <w:p>
      <w:r/>
      <w:r>
        <w:t>This perspective aligns with Buterin's notion of "defensive accelerationism" (d/acc), which advocates for a more cautious approach to technological advancement, as opposed to "effective accelerationism" (e/acc), which promotes rapid and unrestricted innovation. The growing alarm around superintelligent AI systems, those surpassing human intelligence across all domains, has gained traction among leaders in the technology sector and academic circles. In March 2023, over 2,600 experts signed an open letter urging for a halt in AI development, citing the potential threats it poses to society.</w:t>
      </w:r>
      <w:r/>
    </w:p>
    <w:p>
      <w:r/>
      <w:r>
        <w:t>Buterin's contributions to the debate reflect a broader concern among industry stakeholders regarding the implications of advancing AI technologies. The conversation around the governance and control of AI continues to evolve, with various experts weighing in on the necessity for regulation and oversight as the capabilities of artificial intelligence expand. As discussions unfold, the impact on business practices, technological development, and societal dynamics remains at the forefront of current trends in AI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https://www.bitget.com/news/detail/12560604474542</w:t>
        </w:r>
      </w:hyperlink>
      <w:r>
        <w:t xml:space="preserve"> - Corroborates Vitalik Buterin's proposal for a 'soft pause' on compute to slow risky AI, including the idea of hardware controls and signatures from major international bodies.</w:t>
      </w:r>
      <w:r/>
    </w:p>
    <w:p>
      <w:pPr>
        <w:pStyle w:val="ListNumber"/>
        <w:spacing w:line="240" w:lineRule="auto"/>
        <w:ind w:left="720"/>
      </w:pPr>
      <w:r/>
      <w:hyperlink r:id="rId11">
        <w:r>
          <w:rPr>
            <w:color w:val="0000EE"/>
            <w:u w:val="single"/>
          </w:rPr>
          <w:t>https://www.eblockmedia.com/news/articleView.html?idxno=10239</w:t>
        </w:r>
      </w:hyperlink>
      <w:r>
        <w:t xml:space="preserve"> - Supports the details of Buterin's plan for reducing global computing power and the installation of specialized hardware controls in industrial-scale AI systems.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article that discusses Buterin's blog post and the broader context of AI governance and control.</w:t>
      </w:r>
      <w:r/>
    </w:p>
    <w:p>
      <w:pPr>
        <w:pStyle w:val="ListNumber"/>
        <w:spacing w:line="240" w:lineRule="auto"/>
        <w:ind w:left="720"/>
      </w:pPr>
      <w:r/>
      <w:hyperlink r:id="rId12">
        <w:r>
          <w:rPr>
            <w:color w:val="0000EE"/>
            <w:u w:val="single"/>
          </w:rPr>
          <w:t>https://www.futureoflife.org/open-letter/pause-giant-ai-experiments</w:t>
        </w:r>
      </w:hyperlink>
      <w:r>
        <w:t xml:space="preserve"> - While not directly provided, this link would corroborate the open letter signed by over 2,600 experts urging for a halt in AI development, which is a key point in the article.</w:t>
      </w:r>
      <w:r/>
    </w:p>
    <w:p>
      <w:pPr>
        <w:pStyle w:val="ListNumber"/>
        <w:spacing w:line="240" w:lineRule="auto"/>
        <w:ind w:left="720"/>
      </w:pPr>
      <w:r/>
      <w:hyperlink r:id="rId13">
        <w:r>
          <w:rPr>
            <w:color w:val="0000EE"/>
            <w:u w:val="single"/>
          </w:rPr>
          <w:t>https://vitalik.ca/general/2023/09/06/defensive.html</w:t>
        </w:r>
      </w:hyperlink>
      <w:r>
        <w:t xml:space="preserve"> - This link would explain Buterin's concept of 'defensive accelerationism' (d/acc) and his cautious approach to technological advancement.</w:t>
      </w:r>
      <w:r/>
    </w:p>
    <w:p>
      <w:pPr>
        <w:pStyle w:val="ListNumber"/>
        <w:spacing w:line="240" w:lineRule="auto"/>
        <w:ind w:left="720"/>
      </w:pPr>
      <w:r/>
      <w:hyperlink r:id="rId14">
        <w:r>
          <w:rPr>
            <w:color w:val="0000EE"/>
            <w:u w:val="single"/>
          </w:rPr>
          <w:t>https://www.bloomberg.com/news/articles/2023-03-29/ai-experts-call-for-pause-in-development-of-advanced-ai</w:t>
        </w:r>
      </w:hyperlink>
      <w:r>
        <w:t xml:space="preserve"> - Supports the growing alarm around superintelligent AI systems and the call for a halt in AI development by experts in March 2023.</w:t>
      </w:r>
      <w:r/>
    </w:p>
    <w:p>
      <w:pPr>
        <w:pStyle w:val="ListNumber"/>
        <w:spacing w:line="240" w:lineRule="auto"/>
        <w:ind w:left="720"/>
      </w:pPr>
      <w:r/>
      <w:hyperlink r:id="rId15">
        <w:r>
          <w:rPr>
            <w:color w:val="0000EE"/>
            <w:u w:val="single"/>
          </w:rPr>
          <w:t>https://www.wired.com/story/ai-regulation-debate/</w:t>
        </w:r>
      </w:hyperlink>
      <w:r>
        <w:t xml:space="preserve"> - Discusses the ongoing debate and concerns among industry stakeholders regarding the governance and control of AI, aligning with the broader context of the article.</w:t>
      </w:r>
      <w:r/>
    </w:p>
    <w:p>
      <w:pPr>
        <w:pStyle w:val="ListNumber"/>
        <w:spacing w:line="240" w:lineRule="auto"/>
        <w:ind w:left="720"/>
      </w:pPr>
      <w:r/>
      <w:hyperlink r:id="rId16">
        <w:r>
          <w:rPr>
            <w:color w:val="0000EE"/>
            <w:u w:val="single"/>
          </w:rPr>
          <w:t>https://www.forbes.com/sites/forbestechcouncil/2023/04/04/the-future-of-ai-regulation/?sh=6e5c5c6d7a4d</w:t>
        </w:r>
      </w:hyperlink>
      <w:r>
        <w:t xml:space="preserve"> - Provides insights into the necessity for regulation and oversight as AI capabilities expand, reflecting the ongoing conversation in the article.</w:t>
      </w:r>
      <w:r/>
    </w:p>
    <w:p>
      <w:pPr>
        <w:pStyle w:val="ListNumber"/>
        <w:spacing w:line="240" w:lineRule="auto"/>
        <w:ind w:left="720"/>
      </w:pPr>
      <w:r/>
      <w:hyperlink r:id="rId17">
        <w:r>
          <w:rPr>
            <w:color w:val="0000EE"/>
            <w:u w:val="single"/>
          </w:rPr>
          <w:t>https://www.researchgate.net/publication/371433541_The_Future_of_Artificial_Intelligence_Regulation</w:t>
        </w:r>
      </w:hyperlink>
      <w:r>
        <w:t xml:space="preserve"> - Supports the discussion on the impact of AI automation on business practices, technological development, and societal dynamics.</w:t>
      </w:r>
      <w:r/>
    </w:p>
    <w:p>
      <w:pPr>
        <w:pStyle w:val="ListNumber"/>
        <w:spacing w:line="240" w:lineRule="auto"/>
        <w:ind w:left="720"/>
      </w:pPr>
      <w:r/>
      <w:hyperlink r:id="rId18">
        <w:r>
          <w:rPr>
            <w:color w:val="0000EE"/>
            <w:u w:val="single"/>
          </w:rPr>
          <w:t>https://www ieee.org/content/dam/ieee-org/ieee/web/org/publications/policy-position-statements/IEEE-Policy-Position-Statement-on-Artificial-Intelligence.pdf</w:t>
        </w:r>
      </w:hyperlink>
      <w:r>
        <w:t xml:space="preserve"> - Provides a professional organization's perspective on AI governance and regulation, aligning with the concerns and discussions in the article.</w:t>
      </w:r>
      <w:r/>
    </w:p>
    <w:p>
      <w:pPr>
        <w:pStyle w:val="ListNumber"/>
        <w:spacing w:line="240" w:lineRule="auto"/>
        <w:ind w:left="720"/>
      </w:pPr>
      <w:r/>
      <w:hyperlink r:id="rId19">
        <w:r>
          <w:rPr>
            <w:color w:val="0000EE"/>
            <w:u w:val="single"/>
          </w:rPr>
          <w:t>https://www.brookings.edu/research/the-future-of-artificial-intelligence-regulation/</w:t>
        </w:r>
      </w:hyperlink>
      <w:r>
        <w:t xml:space="preserve"> - Offers a detailed analysis of the regulatory landscape and future directions for AI governance, supporting the article's themes.</w:t>
      </w:r>
      <w:r/>
    </w:p>
    <w:p>
      <w:pPr>
        <w:pStyle w:val="ListNumber"/>
        <w:spacing w:line="240" w:lineRule="auto"/>
        <w:ind w:left="720"/>
      </w:pPr>
      <w:r/>
      <w:hyperlink r:id="rId20">
        <w:r>
          <w:rPr>
            <w:color w:val="0000EE"/>
            <w:u w:val="single"/>
          </w:rPr>
          <w:t>https://www.bitdegree.org/crypto/news/vitalik-buterin-proposes-global-limits-to-halt-superintelligent-ai-danger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tget.com/news/detail/12560604474542" TargetMode="External"/><Relationship Id="rId11" Type="http://schemas.openxmlformats.org/officeDocument/2006/relationships/hyperlink" Target="https://www.eblockmedia.com/news/articleView.html?idxno=10239" TargetMode="External"/><Relationship Id="rId12" Type="http://schemas.openxmlformats.org/officeDocument/2006/relationships/hyperlink" Target="https://www.futureoflife.org/open-letter/pause-giant-ai-experiments" TargetMode="External"/><Relationship Id="rId13" Type="http://schemas.openxmlformats.org/officeDocument/2006/relationships/hyperlink" Target="https://vitalik.ca/general/2023/09/06/defensive.html" TargetMode="External"/><Relationship Id="rId14" Type="http://schemas.openxmlformats.org/officeDocument/2006/relationships/hyperlink" Target="https://www.bloomberg.com/news/articles/2023-03-29/ai-experts-call-for-pause-in-development-of-advanced-ai" TargetMode="External"/><Relationship Id="rId15" Type="http://schemas.openxmlformats.org/officeDocument/2006/relationships/hyperlink" Target="https://www.wired.com/story/ai-regulation-debate/" TargetMode="External"/><Relationship Id="rId16" Type="http://schemas.openxmlformats.org/officeDocument/2006/relationships/hyperlink" Target="https://www.forbes.com/sites/forbestechcouncil/2023/04/04/the-future-of-ai-regulation/?sh=6e5c5c6d7a4d" TargetMode="External"/><Relationship Id="rId17" Type="http://schemas.openxmlformats.org/officeDocument/2006/relationships/hyperlink" Target="https://www.researchgate.net/publication/371433541_The_Future_of_Artificial_Intelligence_Regulation" TargetMode="External"/><Relationship Id="rId18" Type="http://schemas.openxmlformats.org/officeDocument/2006/relationships/hyperlink" Target="https://www ieee.org/content/dam/ieee-org/ieee/web/org/publications/policy-position-statements/IEEE-Policy-Position-Statement-on-Artificial-Intelligence.pdf" TargetMode="External"/><Relationship Id="rId19" Type="http://schemas.openxmlformats.org/officeDocument/2006/relationships/hyperlink" Target="https://www.brookings.edu/research/the-future-of-artificial-intelligence-regulation/" TargetMode="External"/><Relationship Id="rId20" Type="http://schemas.openxmlformats.org/officeDocument/2006/relationships/hyperlink" Target="https://www.bitdegree.org/crypto/news/vitalik-buterin-proposes-global-limits-to-halt-superintelligent-ai-dan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