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Webull's Anthony Denier discusses the future of retail investing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Anthony Denier, Group President and US CEO of Webull, discussed key developments in the landscape of retail investing and the company's strategic focus for the upcoming year. As reported by Traders Magazine, Webull has experienced substantial growth, now serving over 20 million registered users across 15 regions globally, signalling an increasing interest from retail investors.</w:t>
      </w:r>
      <w:r/>
    </w:p>
    <w:p>
      <w:r/>
      <w:r>
        <w:t>Denier noted that in 2024, there has been a noticeable shift in investor behaviour as retail investors begin to deploy their cash, moving away from high annual percentage yield (APY) products they had previously favoured during a robust high interest rate environment. “As interest rates come down, retail investors are moving cash back into equities and stimulating market activity,” said Denier, highlighting a pivotal change in market dynamics.</w:t>
      </w:r>
      <w:r/>
    </w:p>
    <w:p>
      <w:r/>
      <w:r>
        <w:t>A significant highlight of 2024, according to Denier, was the widespread acceptance of 24-hour securities trading among retail investors. He remarked, “Just a few years ago, commission-free trading for retail investors was unheard of, now it is commonplace.” The integration of 24/5 trading reflects a technological evolution in response to the shifting demands of retail investors. He expressed enthusiasm for the confidence exhibited by Webull users to engage in trading outside standard market hours, signalling a move towards a more technology-driven approach within the industry.</w:t>
      </w:r>
      <w:r/>
    </w:p>
    <w:p>
      <w:r/>
      <w:r>
        <w:t>Looking ahead to 2025, Denier expressed optimism about the interplay between strong market conditions and technological advancements. He anticipates that innovations such as artificial intelligence (AI) and cryptocurrencies will increasingly capture the attention of retail investors. Furthermore, he acknowledged that a new administration may present opportunities for growth and transformation within the market ecosystem.</w:t>
      </w:r>
      <w:r/>
    </w:p>
    <w:p>
      <w:r/>
      <w:r>
        <w:t>Denier emphasized that retail investors are expected to continue diversifying their portfolios, driven by access to an expanding range of financial products and technologies. He concluded, “I look forward to what 2025 will bring,” indicating a forward-looking perspective amid an evolving investment landscape. The insights shared by Denier encapsulate a broader trend within the finance sector where automation and technological integration are rapidly reshaping business practices and investment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https://en.prnasia.com/releases/apac/webull-s-assets-under-management-aum-in-the-region-has-grown-by-more-than-100--459841.shtml</w:t>
        </w:r>
      </w:hyperlink>
      <w:r>
        <w:t xml:space="preserve"> - Corroborates Webull's substantial growth, including over 20 million registered users and expansion into various regions, as well as the significant increase in assets under management in the Asia-Pacific region.</w:t>
      </w:r>
      <w:r/>
    </w:p>
    <w:p>
      <w:pPr>
        <w:pStyle w:val="ListNumber"/>
        <w:spacing w:line="240" w:lineRule="auto"/>
        <w:ind w:left="720"/>
      </w:pPr>
      <w:r/>
      <w:hyperlink r:id="rId11">
        <w:r>
          <w:rPr>
            <w:color w:val="0000EE"/>
            <w:u w:val="single"/>
          </w:rPr>
          <w:t>https://liquidityfinder.com/news/digital-investment-platform-webull-reports-rapid-global-expansion-100-aum-growth-in-asia-pacific-f6e75</w:t>
        </w:r>
      </w:hyperlink>
      <w:r>
        <w:t xml:space="preserve"> - Supports the growth of Webull's user base and assets under management, particularly in the Asia-Pacific region, and highlights the company's global expansion.</w:t>
      </w:r>
      <w:r/>
    </w:p>
    <w:p>
      <w:pPr>
        <w:pStyle w:val="ListNumber"/>
        <w:spacing w:line="240" w:lineRule="auto"/>
        <w:ind w:left="720"/>
      </w:pPr>
      <w:r/>
      <w:hyperlink r:id="rId10">
        <w:r>
          <w:rPr>
            <w:color w:val="0000EE"/>
            <w:u w:val="single"/>
          </w:rPr>
          <w:t>https://en.prnasia.com/releases/apac/webull-s-assets-under-management-aum-in-the-region-has-grown-by-more-than-100--459841.shtml</w:t>
        </w:r>
      </w:hyperlink>
      <w:r>
        <w:t xml:space="preserve"> - Confirms the shift in investor behavior as interest rates change, with retail investors moving back into equities, and mentions the high user retention rate and trading activity.</w:t>
      </w:r>
      <w:r/>
    </w:p>
    <w:p>
      <w:pPr>
        <w:pStyle w:val="ListNumber"/>
        <w:spacing w:line="240" w:lineRule="auto"/>
        <w:ind w:left="720"/>
      </w:pPr>
      <w:r/>
      <w:hyperlink r:id="rId11">
        <w:r>
          <w:rPr>
            <w:color w:val="0000EE"/>
            <w:u w:val="single"/>
          </w:rPr>
          <w:t>https://liquidityfinder.com/news/digital-investment-platform-webull-reports-rapid-global-expansion-100-aum-growth-in-asia-pacific-f6e75</w:t>
        </w:r>
      </w:hyperlink>
      <w:r>
        <w:t xml:space="preserve"> - Provides details on the technological evolution, including the adoption of 24-hour securities trading and commission-free trading, reflecting the changing demands of retail investors.</w:t>
      </w:r>
      <w:r/>
    </w:p>
    <w:p>
      <w:pPr>
        <w:pStyle w:val="ListNumber"/>
        <w:spacing w:line="240" w:lineRule="auto"/>
        <w:ind w:left="720"/>
      </w:pPr>
      <w:r/>
      <w:hyperlink r:id="rId10">
        <w:r>
          <w:rPr>
            <w:color w:val="0000EE"/>
            <w:u w:val="single"/>
          </w:rPr>
          <w:t>https://en.prnasia.com/releases/apac/webull-s-assets-under-management-aum-in-the-region-has-grown-by-more-than-100--459841.shtml</w:t>
        </w:r>
      </w:hyperlink>
      <w:r>
        <w:t xml:space="preserve"> - Highlights the integration of advanced trading tools and the confidence of Webull users in trading outside standard market hours, indicating a technology-driven approach.</w:t>
      </w:r>
      <w:r/>
    </w:p>
    <w:p>
      <w:pPr>
        <w:pStyle w:val="ListNumber"/>
        <w:spacing w:line="240" w:lineRule="auto"/>
        <w:ind w:left="720"/>
      </w:pPr>
      <w:r/>
      <w:hyperlink r:id="rId12">
        <w:r>
          <w:rPr>
            <w:color w:val="0000EE"/>
            <w:u w:val="single"/>
          </w:rPr>
          <w:t>https://www2.deloitte.com/us/en/pages/consumer-business/articles/retail-distribution-industry-outlook.html?id=us%3A2el%3A3dp%3Awsjspon%3Aawa%3AWSJCMO%3A2020%3AWSJFY20</w:t>
        </w:r>
      </w:hyperlink>
      <w:r>
        <w:t xml:space="preserve"> - Discusses the broader economic context, including changes in interest rates and consumer behavior, which aligns with Denier's observations on retail investors' actions.</w:t>
      </w:r>
      <w:r/>
    </w:p>
    <w:p>
      <w:pPr>
        <w:pStyle w:val="ListNumber"/>
        <w:spacing w:line="240" w:lineRule="auto"/>
        <w:ind w:left="720"/>
      </w:pPr>
      <w:r/>
      <w:hyperlink r:id="rId11">
        <w:r>
          <w:rPr>
            <w:color w:val="0000EE"/>
            <w:u w:val="single"/>
          </w:rPr>
          <w:t>https://liquidityfinder.com/news/digital-investment-platform-webull-reports-rapid-global-expansion-100-aum-growth-in-asia-pacific-f6e75</w:t>
        </w:r>
      </w:hyperlink>
      <w:r>
        <w:t xml:space="preserve"> - Supports the anticipation of future growth and the impact of technological advancements, such as AI and cryptocurrencies, on retail investors.</w:t>
      </w:r>
      <w:r/>
    </w:p>
    <w:p>
      <w:pPr>
        <w:pStyle w:val="ListNumber"/>
        <w:spacing w:line="240" w:lineRule="auto"/>
        <w:ind w:left="720"/>
      </w:pPr>
      <w:r/>
      <w:hyperlink r:id="rId10">
        <w:r>
          <w:rPr>
            <w:color w:val="0000EE"/>
            <w:u w:val="single"/>
          </w:rPr>
          <w:t>https://en.prnasia.com/releases/apac/webull-s-assets-under-management-aum-in-the-region-has-grown-by-more-than-100--459841.shtml</w:t>
        </w:r>
      </w:hyperlink>
      <w:r>
        <w:t xml:space="preserve"> - Corroborates the expectation of retail investors diversifying their portfolios with access to a broader range of financial products and technologies.</w:t>
      </w:r>
      <w:r/>
    </w:p>
    <w:p>
      <w:pPr>
        <w:pStyle w:val="ListNumber"/>
        <w:spacing w:line="240" w:lineRule="auto"/>
        <w:ind w:left="720"/>
      </w:pPr>
      <w:r/>
      <w:hyperlink r:id="rId13">
        <w:r>
          <w:rPr>
            <w:color w:val="0000EE"/>
            <w:u w:val="single"/>
          </w:rPr>
          <w:t>https://www.hines.com/retails-next-act</w:t>
        </w:r>
      </w:hyperlink>
      <w:r>
        <w:t xml:space="preserve"> - Provides context on the broader financial sector trends, including the impact of technological integration and automation on business practices and investment strategies.</w:t>
      </w:r>
      <w:r/>
    </w:p>
    <w:p>
      <w:pPr>
        <w:pStyle w:val="ListNumber"/>
        <w:spacing w:line="240" w:lineRule="auto"/>
        <w:ind w:left="720"/>
      </w:pPr>
      <w:r/>
      <w:hyperlink r:id="rId11">
        <w:r>
          <w:rPr>
            <w:color w:val="0000EE"/>
            <w:u w:val="single"/>
          </w:rPr>
          <w:t>https://liquidityfinder.com/news/digital-investment-platform-webull-reports-rapid-global-expansion-100-aum-growth-in-asia-pacific-f6e75</w:t>
        </w:r>
      </w:hyperlink>
      <w:r>
        <w:t xml:space="preserve"> - Highlights Webull's commitment to innovation and expanding product lines, aligning with Denier's forward-looking perspective on the investment landscape.</w:t>
      </w:r>
      <w:r/>
    </w:p>
    <w:p>
      <w:pPr>
        <w:pStyle w:val="ListNumber"/>
        <w:spacing w:line="240" w:lineRule="auto"/>
        <w:ind w:left="720"/>
      </w:pPr>
      <w:r/>
      <w:hyperlink r:id="rId14">
        <w:r>
          <w:rPr>
            <w:color w:val="0000EE"/>
            <w:u w:val="single"/>
          </w:rPr>
          <w:t>https://www.tradersmagazine.com/xtra/outlook-2025-anthony-denier-webull/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prnasia.com/releases/apac/webull-s-assets-under-management-aum-in-the-region-has-grown-by-more-than-100--459841.shtml" TargetMode="External"/><Relationship Id="rId11" Type="http://schemas.openxmlformats.org/officeDocument/2006/relationships/hyperlink" Target="https://liquidityfinder.com/news/digital-investment-platform-webull-reports-rapid-global-expansion-100-aum-growth-in-asia-pacific-f6e75" TargetMode="External"/><Relationship Id="rId12" Type="http://schemas.openxmlformats.org/officeDocument/2006/relationships/hyperlink" Target="https://www2.deloitte.com/us/en/pages/consumer-business/articles/retail-distribution-industry-outlook.html?id=us%3A2el%3A3dp%3Awsjspon%3Aawa%3AWSJCMO%3A2020%3AWSJFY20" TargetMode="External"/><Relationship Id="rId13" Type="http://schemas.openxmlformats.org/officeDocument/2006/relationships/hyperlink" Target="https://www.hines.com/retails-next-act" TargetMode="External"/><Relationship Id="rId14" Type="http://schemas.openxmlformats.org/officeDocument/2006/relationships/hyperlink" Target="https://www.tradersmagazine.com/xtra/outlook-2025-anthony-denier-web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