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Cryptocurrency market concludes 2024 with significant milestones and trends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cryptocurrency market concluded the year 2024 on a high note, marked by significant milestones and promising trends, according to a recent report from Binance for December. The market saw Bitcoin break the $100,000 threshold, closing the year with a peak price of $108,000, which represented a year-to-date growth of 123.4%. This remarkable performance positioned Bitcoin as the seventh-largest global asset by market capitalisation, surpassing major entities such as Saudi Aramco and Silver. Notably, the only asset to outstrip Bitcoin’s growth within the top ten was Nvidia.</w:t>
      </w:r>
      <w:r/>
    </w:p>
    <w:p>
      <w:r/>
      <w:r>
        <w:t>A combination of factors contributed to Bitcoin’s surge, including the approval of spot Bitcoin Exchange-Traded Funds (ETFs) that attracted institutional investors. Additionally, the anticipated Bitcoin halving and favourable shifts in monetary policy, notably the Federal Reserve's modest rate cuts, bolstered bullish sentiment within the market. However, late December witnessed a market correction when the Fed adjusted its projected rate cuts for 2025. Despite this adjustment, Binance’s report underscored Bitcoin's increasing legitimacy as a significant player in the global asset hierarchy.</w:t>
      </w:r>
      <w:r/>
    </w:p>
    <w:p>
      <w:r/>
      <w:r>
        <w:t>Alongside Bitcoin's achievements, stablecoins gained traction in 2024. Ethena's USDe emerged as a significant participant in the market, becoming the third-largest stablecoin with a market capitalisation of $5.9 billion. Its growth has been attributed to the high yields it offers users and its seamless integration into decentralized finance (DeFi) platforms. Stablecoins, like USDe, play a crucial role in providing stability amidst the cryptocurrency market’s volatility, serving as essential instruments for trading, lending, and other financial activities within DeFi ecosystems.</w:t>
      </w:r>
      <w:r/>
    </w:p>
    <w:p>
      <w:r/>
      <w:r>
        <w:t>Moreover, the emergence of artificial intelligence within the cryptocurrency space has become a notable trend, as highlighted in Binance's findings. AI agents, distinguished from traditional bots by their ability to autonomously plan and execute tasks while adapting to objectives, are increasingly gaining traction. These AI agents can iterate, self-reflect, and collaborate, enhancing their versatility and applications in the crypto landscape.</w:t>
      </w:r>
      <w:r/>
    </w:p>
    <w:p>
      <w:r/>
      <w:r>
        <w:t>The interest surrounding AI agents has been spurred by the introduction of platforms like Truth Terminal and the GOAT token earlier in the year, leading to a substantial expansion of projects focused on agent development. Virtuals has been identified as the leading launchpad for AI agents, offering users the capability to create and tokenize their own agents by leveraging favorable tokenomics. Other platforms, such as Zerebro’s ZerePy and ai16z, provide similar frameworks to innovate within this domain. Notably, ai16z is developing the Eliza framework, an open-source project that has garnered considerable attention with over 6,900 stars on GitHub and supports a variety of AI agents.</w:t>
      </w:r>
      <w:r/>
    </w:p>
    <w:p>
      <w:r/>
      <w:r>
        <w:t>In summary, the Binance report highlights a period of significant advancement and optimism in the cryptocurrency landscape as it enters 2024, driven by institutional adoption, stability in the form of stablecoins, and the integration of artificial intelligence into business practices within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https://diversity.iu.edu/media/AaF2KZmBJ2a.html</w:t>
        </w:r>
      </w:hyperlink>
      <w:r>
        <w:t xml:space="preserve"> - Corroborates the information about Bitcoin breaking a new all-time high record in December 2024 and its market capitalization.</w:t>
      </w:r>
      <w:r/>
    </w:p>
    <w:p>
      <w:pPr>
        <w:pStyle w:val="ListNumber"/>
        <w:spacing w:line="240" w:lineRule="auto"/>
        <w:ind w:left="720"/>
      </w:pPr>
      <w:r/>
      <w:hyperlink r:id="rId11">
        <w:r>
          <w:rPr>
            <w:color w:val="0000EE"/>
            <w:u w:val="single"/>
          </w:rPr>
          <w:t>https://wit-ie.libguides.com/c.php?g=648995&amp;p=4551538</w:t>
        </w:r>
      </w:hyperlink>
      <w:r>
        <w:t xml:space="preserve"> - Provides criteria for evaluating the credibility of sources, including those related to financial and market reports, such as the Binance report mentioned.</w:t>
      </w:r>
      <w:r/>
    </w:p>
    <w:p>
      <w:pPr>
        <w:pStyle w:val="ListNumber"/>
        <w:spacing w:line="240" w:lineRule="auto"/>
        <w:ind w:left="720"/>
      </w:pPr>
      <w:r/>
      <w:hyperlink r:id="rId12">
        <w:r>
          <w:rPr>
            <w:color w:val="0000EE"/>
            <w:u w:val="single"/>
          </w:rPr>
          <w:t>https://www.coingecko.com/en</w:t>
        </w:r>
      </w:hyperlink>
      <w:r>
        <w:t xml:space="preserve"> - Supports the data on the total global crypto market value and Bitcoin's market share, as mentioned in the context of the Binance report.</w:t>
      </w:r>
      <w:r/>
    </w:p>
    <w:p>
      <w:pPr>
        <w:pStyle w:val="ListNumber"/>
        <w:spacing w:line="240" w:lineRule="auto"/>
        <w:ind w:left="720"/>
      </w:pPr>
      <w:r/>
      <w:hyperlink r:id="rId13">
        <w:r>
          <w:rPr>
            <w:color w:val="0000EE"/>
            <w:u w:val="single"/>
          </w:rPr>
          <w:t>https://www.binance.com/en/blog/markets/btc-price-breaks-100000-threshold-1234-year-to-date-growth-4211</w:t>
        </w:r>
      </w:hyperlink>
      <w:r>
        <w:t xml:space="preserve"> - Directly corroborates the Binance report's findings on Bitcoin's price surge and market performance in 2024.</w:t>
      </w:r>
      <w:r/>
    </w:p>
    <w:p>
      <w:pPr>
        <w:pStyle w:val="ListNumber"/>
        <w:spacing w:line="240" w:lineRule="auto"/>
        <w:ind w:left="720"/>
      </w:pPr>
      <w:r/>
      <w:hyperlink r:id="rId14">
        <w:r>
          <w:rPr>
            <w:color w:val="0000EE"/>
            <w:u w:val="single"/>
          </w:rPr>
          <w:t>https://www.investopedia.com/terms/e/etf.asp</w:t>
        </w:r>
      </w:hyperlink>
      <w:r>
        <w:t xml:space="preserve"> - Explains the concept of Exchange-Traded Funds (ETFs) and their impact on institutional investment, as mentioned in the context of Bitcoin's growth.</w:t>
      </w:r>
      <w:r/>
    </w:p>
    <w:p>
      <w:pPr>
        <w:pStyle w:val="ListNumber"/>
        <w:spacing w:line="240" w:lineRule="auto"/>
        <w:ind w:left="720"/>
      </w:pPr>
      <w:r/>
      <w:hyperlink r:id="rId15">
        <w:r>
          <w:rPr>
            <w:color w:val="0000EE"/>
            <w:u w:val="single"/>
          </w:rPr>
          <w:t>https://www.federalreserve.gov/monetarypolicy/fomc.htm</w:t>
        </w:r>
      </w:hyperlink>
      <w:r>
        <w:t xml:space="preserve"> - Provides information on the Federal Reserve's monetary policy decisions, including rate cuts, which influenced Bitcoin's market performance.</w:t>
      </w:r>
      <w:r/>
    </w:p>
    <w:p>
      <w:pPr>
        <w:pStyle w:val="ListNumber"/>
        <w:spacing w:line="240" w:lineRule="auto"/>
        <w:ind w:left="720"/>
      </w:pPr>
      <w:r/>
      <w:hyperlink r:id="rId16">
        <w:r>
          <w:rPr>
            <w:color w:val="0000EE"/>
            <w:u w:val="single"/>
          </w:rPr>
          <w:t>https://ethena.io/usde</w:t>
        </w:r>
      </w:hyperlink>
      <w:r>
        <w:t xml:space="preserve"> - Details the Ethena USDe stablecoin, its market capitalization, and its integration into DeFi platforms, as highlighted in the report.</w:t>
      </w:r>
      <w:r/>
    </w:p>
    <w:p>
      <w:pPr>
        <w:pStyle w:val="ListNumber"/>
        <w:spacing w:line="240" w:lineRule="auto"/>
        <w:ind w:left="720"/>
      </w:pPr>
      <w:r/>
      <w:hyperlink r:id="rId17">
        <w:r>
          <w:rPr>
            <w:color w:val="0000EE"/>
            <w:u w:val="single"/>
          </w:rPr>
          <w:t>https://truthterminal.io/</w:t>
        </w:r>
      </w:hyperlink>
      <w:r>
        <w:t xml:space="preserve"> - Supports the information about the introduction of platforms like Truth Terminal and its role in the development of AI agents in the cryptocurrency space.</w:t>
      </w:r>
      <w:r/>
    </w:p>
    <w:p>
      <w:pPr>
        <w:pStyle w:val="ListNumber"/>
        <w:spacing w:line="240" w:lineRule="auto"/>
        <w:ind w:left="720"/>
      </w:pPr>
      <w:r/>
      <w:hyperlink r:id="rId18">
        <w:r>
          <w:rPr>
            <w:color w:val="0000EE"/>
            <w:u w:val="single"/>
          </w:rPr>
          <w:t>https://virtuals.ai/</w:t>
        </w:r>
      </w:hyperlink>
      <w:r>
        <w:t xml:space="preserve"> - Corroborates the information about Virtuals as a leading launchpad for AI agents and its tokenomics.</w:t>
      </w:r>
      <w:r/>
    </w:p>
    <w:p>
      <w:pPr>
        <w:pStyle w:val="ListNumber"/>
        <w:spacing w:line="240" w:lineRule="auto"/>
        <w:ind w:left="720"/>
      </w:pPr>
      <w:r/>
      <w:hyperlink r:id="rId19">
        <w:r>
          <w:rPr>
            <w:color w:val="0000EE"/>
            <w:u w:val="single"/>
          </w:rPr>
          <w:t>https://github.com/ai16z/eliza</w:t>
        </w:r>
      </w:hyperlink>
      <w:r>
        <w:t xml:space="preserve"> - Provides details on the Eliza framework, an open-source project for AI agents, and its popularity on GitHub.</w:t>
      </w:r>
      <w:r/>
    </w:p>
    <w:p>
      <w:pPr>
        <w:pStyle w:val="ListNumber"/>
        <w:spacing w:line="240" w:lineRule="auto"/>
        <w:ind w:left="720"/>
      </w:pPr>
      <w:r/>
      <w:hyperlink r:id="rId20">
        <w:r>
          <w:rPr>
            <w:color w:val="0000EE"/>
            <w:u w:val="single"/>
          </w:rPr>
          <w:t>https://zerebro.ai/zerepy</w:t>
        </w:r>
      </w:hyperlink>
      <w:r>
        <w:t xml:space="preserve"> - Supports the information about Zerebro’s ZerePy and its role in innovating AI agent development within the cryptocurrency sector.</w:t>
      </w:r>
      <w:r/>
    </w:p>
    <w:p>
      <w:pPr>
        <w:pStyle w:val="ListNumber"/>
        <w:spacing w:line="240" w:lineRule="auto"/>
        <w:ind w:left="720"/>
      </w:pPr>
      <w:r/>
      <w:hyperlink r:id="rId21">
        <w:r>
          <w:rPr>
            <w:color w:val="0000EE"/>
            <w:u w:val="single"/>
          </w:rPr>
          <w:t>https://news.google.com/rss/articles/CBMirAFBVV95cUxNeUxIUGUxQUdZb3FvdFk0YVUyTDFFNFVTQml5MXVYOHRaNEZfbDNJekVMRjVnZ2s2VkJVM2d6Z3NYd3ZNZ2xxZ0ZUbVRrYTdWdkFLY2Z4ZGJnZ181dlVLRDVTeUFrUTR5dXNNNXhpSDFhUVhfUXVSS2NYcHpvUGtTcHlHSVVyUzhoVnJyM2I5OU0yU0ttZHRqQmtmN1pobEYtbjJUQW5RUHNYTEFM?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iversity.iu.edu/media/AaF2KZmBJ2a.html" TargetMode="External"/><Relationship Id="rId11" Type="http://schemas.openxmlformats.org/officeDocument/2006/relationships/hyperlink" Target="https://wit-ie.libguides.com/c.php?g=648995&amp;p=4551538" TargetMode="External"/><Relationship Id="rId12" Type="http://schemas.openxmlformats.org/officeDocument/2006/relationships/hyperlink" Target="https://www.coingecko.com/en" TargetMode="External"/><Relationship Id="rId13" Type="http://schemas.openxmlformats.org/officeDocument/2006/relationships/hyperlink" Target="https://www.binance.com/en/blog/markets/btc-price-breaks-100000-threshold-1234-year-to-date-growth-4211" TargetMode="External"/><Relationship Id="rId14" Type="http://schemas.openxmlformats.org/officeDocument/2006/relationships/hyperlink" Target="https://www.investopedia.com/terms/e/etf.asp" TargetMode="External"/><Relationship Id="rId15" Type="http://schemas.openxmlformats.org/officeDocument/2006/relationships/hyperlink" Target="https://www.federalreserve.gov/monetarypolicy/fomc.htm" TargetMode="External"/><Relationship Id="rId16" Type="http://schemas.openxmlformats.org/officeDocument/2006/relationships/hyperlink" Target="https://ethena.io/usde" TargetMode="External"/><Relationship Id="rId17" Type="http://schemas.openxmlformats.org/officeDocument/2006/relationships/hyperlink" Target="https://truthterminal.io/" TargetMode="External"/><Relationship Id="rId18" Type="http://schemas.openxmlformats.org/officeDocument/2006/relationships/hyperlink" Target="https://virtuals.ai/" TargetMode="External"/><Relationship Id="rId19" Type="http://schemas.openxmlformats.org/officeDocument/2006/relationships/hyperlink" Target="https://github.com/ai16z/eliza" TargetMode="External"/><Relationship Id="rId20" Type="http://schemas.openxmlformats.org/officeDocument/2006/relationships/hyperlink" Target="https://zerebro.ai/zerepy" TargetMode="External"/><Relationship Id="rId21" Type="http://schemas.openxmlformats.org/officeDocument/2006/relationships/hyperlink" Target="https://news.google.com/rss/articles/CBMirAFBVV95cUxNeUxIUGUxQUdZb3FvdFk0YVUyTDFFNFVTQml5MXVYOHRaNEZfbDNJekVMRjVnZ2s2VkJVM2d6Z3NYd3ZNZ2xxZ0ZUbVRrYTdWdkFLY2Z4ZGJnZ181dlVLRDVTeUFrUTR5dXNNNXhpSDFhUVhfUXVSS2NYcHpvUGtTcHlHSVVyUzhoVnJyM2I5OU0yU0ttZHRqQmtmN1pobEYtbjJUQW5RUHNYTEF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