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financial services brace for regulatory reform amidst government initiatives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UK-regulated financial services is poised for significant transformation in the coming years as the industry braces for regulatory reform aligned with new government initiatives. The unexpected timing of the general election in 2024 had previously disrupted the reform agenda; however, there is now renewed momentum as the government’s plans for growth are set to influence both existing reforms and the introduction of innovative initiatives aimed at fostering economic development by 2025.</w:t>
      </w:r>
      <w:r/>
    </w:p>
    <w:p>
      <w:r/>
      <w:r>
        <w:t xml:space="preserve">As noted in discussions by experts in the field, the incoming government is expected to prioritise retail markets, underlining the need for enhanced competitiveness within the UK’s business environment. Improvements to wholesale markets are also planned, signalling a comprehensive strategy to bolster the economy. </w:t>
      </w:r>
      <w:r/>
    </w:p>
    <w:p>
      <w:r/>
      <w:r>
        <w:t>Among the key trends shaping the regulatory landscape are Environmental, Social, and Governance (ESG) standards and the adoption of Artificial Intelligence (AI). Both areas are rapidly evolving and will have profound implications for the financial services sector. These trends highlight the necessity for businesses to adapt swiftly to emerging technologies, which are increasingly becoming integral to business practices.</w:t>
      </w:r>
      <w:r/>
    </w:p>
    <w:p>
      <w:r/>
      <w:r>
        <w:t>Overall, financial services firms in the UK can anticipate an actively shifting regulatory environment in the near future, as the government’s focus on growth translates into tangible reforms and initiatives aimed at accommodating advancements in technology while addressing pressing ESG considerations. The ongoing evolution of AI and its integration into business processes within the financial sector remains a point of considerable interest and scrutiny.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https://www.gov.uk/government/news/chancellor-fires-up-financial-services-sector-to-drive-growth</w:t>
        </w:r>
      </w:hyperlink>
      <w:r>
        <w:t xml:space="preserve"> - Corroborates the government's plans for growth and competitiveness in the financial services sector, including reforms and innovative initiatives.</w:t>
      </w:r>
      <w:r/>
    </w:p>
    <w:p>
      <w:pPr>
        <w:pStyle w:val="ListNumber"/>
        <w:spacing w:line="240" w:lineRule="auto"/>
        <w:ind w:left="720"/>
      </w:pPr>
      <w:r/>
      <w:hyperlink r:id="rId10">
        <w:r>
          <w:rPr>
            <w:color w:val="0000EE"/>
            <w:u w:val="single"/>
          </w:rPr>
          <w:t>https://www.gov.uk/government/news/chancellor-fires-up-financial-services-sector-to-drive-growth</w:t>
        </w:r>
      </w:hyperlink>
      <w:r>
        <w:t xml:space="preserve"> - Supports the mention of the government's focus on retail and wholesale markets to bolster the economy.</w:t>
      </w:r>
      <w:r/>
    </w:p>
    <w:p>
      <w:pPr>
        <w:pStyle w:val="ListNumber"/>
        <w:spacing w:line="240" w:lineRule="auto"/>
        <w:ind w:left="720"/>
      </w:pPr>
      <w:r/>
      <w:hyperlink r:id="rId11">
        <w:r>
          <w:rPr>
            <w:color w:val="0000EE"/>
            <w:u w:val="single"/>
          </w:rPr>
          <w:t>https://datamatters.sidley.com/2025/01/07/uk-operational-resilience-rules-are-you-ready-for-31-march-2025/</w:t>
        </w:r>
      </w:hyperlink>
      <w:r>
        <w:t xml:space="preserve"> - Details the upcoming operational resilience rules and the deadline for compliance by 31 March 2025, highlighting the regulatory changes in the financial services sector.</w:t>
      </w:r>
      <w:r/>
    </w:p>
    <w:p>
      <w:pPr>
        <w:pStyle w:val="ListNumber"/>
        <w:spacing w:line="240" w:lineRule="auto"/>
        <w:ind w:left="720"/>
      </w:pPr>
      <w:r/>
      <w:hyperlink r:id="rId12">
        <w:r>
          <w:rPr>
            <w:color w:val="0000EE"/>
            <w:u w:val="single"/>
          </w:rPr>
          <w:t>https://www.pinsentmasons.com/out-law/news/critical-third-parties-uk-financial-services-regulation-2025</w:t>
        </w:r>
      </w:hyperlink>
      <w:r>
        <w:t xml:space="preserve"> - Discusses the introduction of the Critical Third Party (CTP) regime, which is part of the regulatory reforms affecting the UK financial services sector.</w:t>
      </w:r>
      <w:r/>
    </w:p>
    <w:p>
      <w:pPr>
        <w:pStyle w:val="ListNumber"/>
        <w:spacing w:line="240" w:lineRule="auto"/>
        <w:ind w:left="720"/>
      </w:pPr>
      <w:r/>
      <w:hyperlink r:id="rId12">
        <w:r>
          <w:rPr>
            <w:color w:val="0000EE"/>
            <w:u w:val="single"/>
          </w:rPr>
          <w:t>https://www.pinsentmasons.com/out-law/news/critical-third-parties-uk-financial-services-regulation-2025</w:t>
        </w:r>
      </w:hyperlink>
      <w:r>
        <w:t xml:space="preserve"> - Explains the risks and benefits associated with third-party service providers and their impact on the UK financial system, aligning with the need for regulatory adaptation.</w:t>
      </w:r>
      <w:r/>
    </w:p>
    <w:p>
      <w:pPr>
        <w:pStyle w:val="ListNumber"/>
        <w:spacing w:line="240" w:lineRule="auto"/>
        <w:ind w:left="720"/>
      </w:pPr>
      <w:r/>
      <w:hyperlink r:id="rId11">
        <w:r>
          <w:rPr>
            <w:color w:val="0000EE"/>
            <w:u w:val="single"/>
          </w:rPr>
          <w:t>https://datamatters.sidley.com/2025/01/07/uk-operational-resilience-rules-are-you-ready-for-31-march-2025/</w:t>
        </w:r>
      </w:hyperlink>
      <w:r>
        <w:t xml:space="preserve"> - Highlights the importance of operational resilience and the regulatory expectations set by the FCA and PRA, which are integral to the evolving regulatory landscape.</w:t>
      </w:r>
      <w:r/>
    </w:p>
    <w:p>
      <w:pPr>
        <w:pStyle w:val="ListNumber"/>
        <w:spacing w:line="240" w:lineRule="auto"/>
        <w:ind w:left="720"/>
      </w:pPr>
      <w:r/>
      <w:hyperlink r:id="rId10">
        <w:r>
          <w:rPr>
            <w:color w:val="0000EE"/>
            <w:u w:val="single"/>
          </w:rPr>
          <w:t>https://www.gov.uk/government/news/chancellor-fires-up-financial-services-sector-to-drive-growth</w:t>
        </w:r>
      </w:hyperlink>
      <w:r>
        <w:t xml:space="preserve"> - Mentions the government's commitment to innovation, including the use of distributed ledger technology (DLT) and other technological advancements in the financial sector.</w:t>
      </w:r>
      <w:r/>
    </w:p>
    <w:p>
      <w:pPr>
        <w:pStyle w:val="ListNumber"/>
        <w:spacing w:line="240" w:lineRule="auto"/>
        <w:ind w:left="720"/>
      </w:pPr>
      <w:r/>
      <w:hyperlink r:id="rId12">
        <w:r>
          <w:rPr>
            <w:color w:val="0000EE"/>
            <w:u w:val="single"/>
          </w:rPr>
          <w:t>https://www.pinsentmasons.com/out-law/news/critical-third-parties-uk-financial-services-regulation-2025</w:t>
        </w:r>
      </w:hyperlink>
      <w:r>
        <w:t xml:space="preserve"> - Provides context on the lessons learned from significant cyber incidents, such as the CrowdStrike outage, and their implications for operational resilience in financial services.</w:t>
      </w:r>
      <w:r/>
    </w:p>
    <w:p>
      <w:pPr>
        <w:pStyle w:val="ListNumber"/>
        <w:spacing w:line="240" w:lineRule="auto"/>
        <w:ind w:left="720"/>
      </w:pPr>
      <w:r/>
      <w:hyperlink r:id="rId11">
        <w:r>
          <w:rPr>
            <w:color w:val="0000EE"/>
            <w:u w:val="single"/>
          </w:rPr>
          <w:t>https://datamatters.sidley.com/2025/01/07/uk-operational-resilience-rules-are-you-ready-for-31-march-2025/</w:t>
        </w:r>
      </w:hyperlink>
      <w:r>
        <w:t xml:space="preserve"> - Outlines the specific regulatory requirements and deadlines that financial services firms must adhere to, reflecting the actively shifting regulatory environment.</w:t>
      </w:r>
      <w:r/>
    </w:p>
    <w:p>
      <w:pPr>
        <w:pStyle w:val="ListNumber"/>
        <w:spacing w:line="240" w:lineRule="auto"/>
        <w:ind w:left="720"/>
      </w:pPr>
      <w:r/>
      <w:hyperlink r:id="rId10">
        <w:r>
          <w:rPr>
            <w:color w:val="0000EE"/>
            <w:u w:val="single"/>
          </w:rPr>
          <w:t>https://www.gov.uk/government/news/chancellor-fires-up-financial-services-sector-to-drive-growth</w:t>
        </w:r>
      </w:hyperlink>
      <w:r>
        <w:t xml:space="preserve"> - Details the government's strategy to combat fraud and enhance consumer protection, which is part of the broader regulatory reforms.</w:t>
      </w:r>
      <w:r/>
    </w:p>
    <w:p>
      <w:pPr>
        <w:pStyle w:val="ListNumber"/>
        <w:spacing w:line="240" w:lineRule="auto"/>
        <w:ind w:left="720"/>
      </w:pPr>
      <w:r/>
      <w:hyperlink r:id="rId10">
        <w:r>
          <w:rPr>
            <w:color w:val="0000EE"/>
            <w:u w:val="single"/>
          </w:rPr>
          <w:t>https://www.gov.uk/government/news/chancellor-fires-up-financial-services-sector-to-drive-growth</w:t>
        </w:r>
      </w:hyperlink>
      <w:r>
        <w:t xml:space="preserve"> - Discusses the modernization of the Financial Ombudsman Service framework and its role in consumer redress, aligning with the government's focus on consumer protection and regulatory balance.</w:t>
      </w:r>
      <w:r/>
    </w:p>
    <w:p>
      <w:pPr>
        <w:pStyle w:val="ListNumber"/>
        <w:spacing w:line="240" w:lineRule="auto"/>
        <w:ind w:left="720"/>
      </w:pPr>
      <w:r/>
      <w:hyperlink r:id="rId13">
        <w:r>
          <w:rPr>
            <w:color w:val="0000EE"/>
            <w:u w:val="single"/>
          </w:rPr>
          <w:t>https://www.lexblog.com/2025/01/08/10-key-focus-areas-for-uk-regulated-financial-services-firms-in-2025/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uk/government/news/chancellor-fires-up-financial-services-sector-to-drive-growth" TargetMode="External"/><Relationship Id="rId11" Type="http://schemas.openxmlformats.org/officeDocument/2006/relationships/hyperlink" Target="https://datamatters.sidley.com/2025/01/07/uk-operational-resilience-rules-are-you-ready-for-31-march-2025/" TargetMode="External"/><Relationship Id="rId12" Type="http://schemas.openxmlformats.org/officeDocument/2006/relationships/hyperlink" Target="https://www.pinsentmasons.com/out-law/news/critical-third-parties-uk-financial-services-regulation-2025" TargetMode="External"/><Relationship Id="rId13" Type="http://schemas.openxmlformats.org/officeDocument/2006/relationships/hyperlink" Target="https://www.lexblog.com/2025/01/08/10-key-focus-areas-for-uk-regulated-financial-services-firm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