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ASID unveils 2025 trends outlook for residential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residential design industry prepares for significant shifts in 2025, the American Society of Interior Designers (ASID) has released its 2025 Trends Outlook Preview. In collaboration with Green Home Builder Magazine, this report showcases the evolving dynamics across various aspects such as lifestyle, wellness, technology, workforce, and economic factors.</w:t>
      </w:r>
      <w:r/>
    </w:p>
    <w:p>
      <w:r/>
      <w:r>
        <w:t>One of the core themes identified in the ASID outlook is the blending of various styles and cultural narratives within design. The report highlights an increasing trend towards incorporating traditional elements alongside regional and nostalgic influences, reflecting a diverse palette of aesthetics that resonate with consumers. This trend is closely tied to another observation—the growing demand for adaptable living solutions, largely driven by the aging population, often referred to as the "Silver Tsunami."</w:t>
      </w:r>
      <w:r/>
    </w:p>
    <w:p>
      <w:r/>
      <w:r>
        <w:t>In addition to these aesthetic preferences, there has been an noted surge in consumer skepticism towards established institutions, with increasing concerns surrounding transparency and trust. This shift points towards a broader social inclination that is also evident in the revival of artisan craftsmanship. The report indicates that there is a consumer-driven demand for timeless and durable pieces, likely influenced by these changing attitudes.</w:t>
      </w:r>
      <w:r/>
    </w:p>
    <w:p>
      <w:r/>
      <w:r>
        <w:t>Another pivotal trend is the seamless integration of indoor and outdoor spaces, reflecting a desire for social engagement within natural environments. The driving force behind this trend appears to be a collective yearning for environments that foster connection and well-being.</w:t>
      </w:r>
      <w:r/>
    </w:p>
    <w:p>
      <w:r/>
      <w:r>
        <w:t>From an economic perspective, ASID has reported on the impact of inflation, tariffs, and global market dynamics, particularly among younger generations. This demographic is increasingly committed to supporting small businesses, adapting their purchasing behaviours in response to shifting policies affecting global markets. Furthermore, the perception of education is evolving, with Gen Z showing a marked interest in trade schools over traditional college routes. This change is accompanied by an increasing wage potential within skilled trades.</w:t>
      </w:r>
      <w:r/>
    </w:p>
    <w:p>
      <w:r/>
      <w:r>
        <w:t>In the workplace realm, the report underscores the importance of multigenerational workforces, as diverse age groups promote a collaborative atmosphere. The advent of generative AI is noted as a transformative force, with potential to shorten workweek durations by streamlining various tasks, which could reshape traditional work structures.</w:t>
      </w:r>
      <w:r/>
    </w:p>
    <w:p>
      <w:r/>
      <w:r>
        <w:t>The technological landscape is also undergoing significant transformations. Hyper-personalised AI services are becoming integral across numerous design sectors, enhancing user experiences through customizability. Furthermore, the increasing affordability of smart home technologies is making these solutions accessible to a broader demographic, reflecting a trend towards inclusivity.</w:t>
      </w:r>
      <w:r/>
    </w:p>
    <w:p>
      <w:r/>
      <w:r>
        <w:t>Wellness and resiliency have emerged as critical focal points in design practices. The report indicates a shift towards incorporating specific shapes and colours that enhance mental well-being, acknowledging the growing recognition of the psychological impacts of design. Sustainability remains a prominent theme, with a shift towards circularity and the use of environmentally-friendly materials shaping design decisions. Additionally, heightened awareness regarding toxins in the environment is influencing consumer choices, prompting design practitioners to pivot towards healthier, safer materials.</w:t>
      </w:r>
      <w:r/>
    </w:p>
    <w:p>
      <w:r/>
      <w:r>
        <w:t>Innovations in lighting are evolving beyond mere functionality, with advancements aimed at improving health and addressing social responsibilities. This is complemented by an increased focus on neuro-inclusive design, as awareness of its benefits grows, prompting a more thoughtful approach to accommodating neurodiversity within the built environment.</w:t>
      </w:r>
      <w:r/>
    </w:p>
    <w:p>
      <w:r/>
      <w:r>
        <w:t>Overall, the ASID's 2025 Trends Outlook encapsulates a transformative period within the residential design industry, reflecting a complex interplay of societal, technological, and economic trends that are set to influence future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https://www.furninfo.com/furniture-industry-news/24371</w:t>
        </w:r>
      </w:hyperlink>
      <w:r>
        <w:t xml:space="preserve"> - Corroborates the ASID 2025 Trends Outlook report, highlighting key factors such as generational workforce dynamics, neuro-inclusive design, and the resurgence of artisanal craftsmanship.</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Provides a detailed preview of the ASID 2025 Trends Outlook, including trends such as mixing styles and cultural narratives, adaptive living, and the revival of artisan craftsmanship.</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Supports the trend of incorporating traditional elements with regional and nostalgic influences, and the growing demand for adaptable living solutions due to the aging population.</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Highlights consumer skepticism towards established institutions and the increasing demand for timeless and durable pieces, influenced by changing attitudes.</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Corroborates the trend of seamless integration of indoor and outdoor spaces, driven by a desire for social engagement within natural environments.</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Discusses the economic impact of inflation, tariffs, and global market dynamics, particularly among younger generations supporting small businesses and the shift towards trade schools.</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Supports the importance of multigenerational workforces and the transformative role of generative AI in shortening workweek durations.</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Highlights the integration of hyper-personalized AI services and the increasing affordability of smart home technologies, making them accessible to a broader demographic.</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Corroborates the focus on wellness and resiliency, including the use of specific shapes and colors for mental health benefits and the emphasis on sustainability and environmentally-friendly materials.</w:t>
      </w:r>
      <w:r/>
    </w:p>
    <w:p>
      <w:pPr>
        <w:pStyle w:val="ListNumber"/>
        <w:spacing w:line="240" w:lineRule="auto"/>
        <w:ind w:left="720"/>
      </w:pPr>
      <w:r/>
      <w:hyperlink r:id="rId11">
        <w:r>
          <w:rPr>
            <w:color w:val="0000EE"/>
            <w:u w:val="single"/>
          </w:rPr>
          <w:t>https://kbbonline.com/trends-inspirations/asid-trends-outlook-preview-top-2025-trends/158965/</w:t>
        </w:r>
      </w:hyperlink>
      <w:r>
        <w:t xml:space="preserve"> - Supports the innovations in lighting aimed at improving health and addressing social responsibilities, and the increased focus on neuro-inclusive design.</w:t>
      </w:r>
      <w:r/>
    </w:p>
    <w:p>
      <w:pPr>
        <w:pStyle w:val="ListNumber"/>
        <w:spacing w:line="240" w:lineRule="auto"/>
        <w:ind w:left="720"/>
      </w:pPr>
      <w:r/>
      <w:hyperlink r:id="rId12">
        <w:r>
          <w:rPr>
            <w:color w:val="0000EE"/>
            <w:u w:val="single"/>
          </w:rPr>
          <w:t>https://www.asid.org/resources/resources/index/resource-center</w:t>
        </w:r>
      </w:hyperlink>
      <w:r>
        <w:t xml:space="preserve"> - Provides additional resources and context about ASID's initiatives, reports, and focus areas, including the 2025 Trends Outlook.</w:t>
      </w:r>
      <w:r/>
    </w:p>
    <w:p>
      <w:pPr>
        <w:pStyle w:val="ListNumber"/>
        <w:spacing w:line="240" w:lineRule="auto"/>
        <w:ind w:left="720"/>
      </w:pPr>
      <w:r/>
      <w:hyperlink r:id="rId13">
        <w:r>
          <w:rPr>
            <w:color w:val="0000EE"/>
            <w:u w:val="single"/>
          </w:rPr>
          <w:t>https://www.greenhomebuildermag.com/wellness-and-resiliency-design-and-transformable-ai-tech-to-top-2025-housing-trends/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rninfo.com/furniture-industry-news/24371" TargetMode="External"/><Relationship Id="rId11" Type="http://schemas.openxmlformats.org/officeDocument/2006/relationships/hyperlink" Target="https://kbbonline.com/trends-inspirations/asid-trends-outlook-preview-top-2025-trends/158965/" TargetMode="External"/><Relationship Id="rId12" Type="http://schemas.openxmlformats.org/officeDocument/2006/relationships/hyperlink" Target="https://www.asid.org/resources/resources/index/resource-center" TargetMode="External"/><Relationship Id="rId13" Type="http://schemas.openxmlformats.org/officeDocument/2006/relationships/hyperlink" Target="https://www.greenhomebuildermag.com/wellness-and-resiliency-design-and-transformable-ai-tech-to-top-2025-housing-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