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volatility amid macroeconomic challenges and emerging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Cryptocurrencies are currently experiencing significant volatility, largely attributed to macroeconomic factors such as rising bond yields that have dampened market sentiment. The recent performance of major altcoins—including Shiba Inu, Litecoin, Cardano, and Solana—reflects substantial price declines, compounding the instability that has characterised Bitcoin since its peak at $100,000. Analysts note that robust job market data has paradoxically worsened the situation, as concerns about potential inflation and subsequent interest rate hikes prompt investors to shift funds towards more traditional investments, drawing capital away from cryptocurrencies.</w:t>
      </w:r>
      <w:r/>
    </w:p>
    <w:p>
      <w:r/>
      <w:r>
        <w:t>Amid these challenging conditions, there is still a resilient underlying demand, with many investors maintaining long-term confidence in the crypto market. To further contextualize the dynamic landscape of digital currencies, new developments are emerging around cryptocurrencies and blockchain technology that are influencing business practices.</w:t>
      </w:r>
      <w:r/>
    </w:p>
    <w:p>
      <w:r/>
      <w:r>
        <w:t>One notable innovation is Aethra AI, which integrates artificial intelligence with blockchain technology to enhance workforce management. By streamlining hiring and certification processes, Aethra AI allows businesses to connect with qualified talent more efficiently while ensuring compliance with industry standards. Speaking to Inside Bitcoins, a representative highlighted that the system's advanced algorithms match professionals to projects with "unprecedented accuracy." Aethra AI's partnerships with major industry players like ExxonMobil and BASF validate its capabilities and drive wider adoption.</w:t>
      </w:r>
      <w:r/>
    </w:p>
    <w:p>
      <w:r/>
      <w:r>
        <w:t>In parallel, Flockerz is redefining the meme coin market through its community-driven governance model. The initiative has successfully raised over $9 million during its presale phase, showcasing substantial support from the community. Each token holder has a voice in decision-making, with a revolutionary "Vote-to-Earn" system allowing participation to translate into potential earnings. Reports indicate that influencers in the crypto space are increasingly focusing on this democratic approach as an effective means to keep power distributed among token holders.</w:t>
      </w:r>
      <w:r/>
    </w:p>
    <w:p>
      <w:r/>
      <w:r>
        <w:t>EvolvAi is also making strides by simplifying the integration of AI customization with blockchain automation. This platform allows businesses to deploy pre-trained AI models seamlessly, eliminating the need for technical expertise. With tools such as automated trading solutions and marketing optimisation options, EvolvAi is addressing the barriers that traditionally hindered access to advanced AI applications. Recently, it announced a buyback of 2 Ethereum, which has increased its total token burn rate to 15.1%, highlighting a commitment to maintaining the health and value of its cryptocurrency.</w:t>
      </w:r>
      <w:r/>
    </w:p>
    <w:p>
      <w:r/>
      <w:r>
        <w:t>Additionally, AGENTSYS AI is positioning itself as a transformative force in digital finance by democratizing the creation of AI agents. The platform's user-friendly tools are designed for portfolio management and trading, making AI technology accessible to individuals without coding experience. The introduction of Satosys, an AI agent that provides Bitcoin analysis regularly, illustrates the practicality of AGENTSYS AI's offerings.</w:t>
      </w:r>
      <w:r/>
    </w:p>
    <w:p>
      <w:r/>
      <w:r>
        <w:t>Emerging technologies also include LinqAI, which utilises AI agents and synthetic audiences to revolutionise business operations across various sectors. The platform's $LNQ token supports a range of functionalities like access to AI-driven tools, staking rewards, and governance. These features empower users to optimise marketing efforts and automate workflows, ultimately enhancing business efficiency. The expanding reach of LinqAI is supported by its recent growth in user base, surpassing 5,000 holders.</w:t>
      </w:r>
      <w:r/>
    </w:p>
    <w:p>
      <w:r/>
      <w:r>
        <w:t>As businesses continue to explore AI automation and blockchain integration, these developments indicate a significant shift in operational practices. The convergence of AI and blockchain technologies is setting the stage for innovations that may redefine industry landscapes and influence future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https://www.pymnts.com/cryptocurrency/2025/bears-bulls-and-regulations-shape-cryptos-2025-aspirations/</w:t>
        </w:r>
      </w:hyperlink>
      <w:r>
        <w:t xml:space="preserve"> - Corroborates the volatility in the cryptocurrency market due to macroeconomic factors and the impact of rising bond yields and job market data on market sentiment.</w:t>
      </w:r>
      <w:r/>
    </w:p>
    <w:p>
      <w:pPr>
        <w:pStyle w:val="ListNumber"/>
        <w:spacing w:line="240" w:lineRule="auto"/>
        <w:ind w:left="720"/>
      </w:pPr>
      <w:r/>
      <w:hyperlink r:id="rId10">
        <w:r>
          <w:rPr>
            <w:color w:val="0000EE"/>
            <w:u w:val="single"/>
          </w:rPr>
          <w:t>https://www.pymnts.com/cryptocurrency/2025/bears-bulls-and-regulations-shape-cryptos-2025-aspirations/</w:t>
        </w:r>
      </w:hyperlink>
      <w:r>
        <w:t xml:space="preserve"> - Supports the notion of robust job market data contributing to concerns about potential inflation and subsequent interest rate hikes affecting cryptocurrency investments.</w:t>
      </w:r>
      <w:r/>
    </w:p>
    <w:p>
      <w:pPr>
        <w:pStyle w:val="ListNumber"/>
        <w:spacing w:line="240" w:lineRule="auto"/>
        <w:ind w:left="720"/>
      </w:pPr>
      <w:r/>
      <w:hyperlink r:id="rId11">
        <w:r>
          <w:rPr>
            <w:color w:val="0000EE"/>
            <w:u w:val="single"/>
          </w:rPr>
          <w:t>https://www.coindesk.com/markets/2023/11/15/bitcoin-price-falls-below-30000-as-us-jobs-report-shows-strong-labor-market/</w:t>
        </w:r>
      </w:hyperlink>
      <w:r>
        <w:t xml:space="preserve"> - Provides context on how strong job market data can negatively impact cryptocurrency prices, such as Bitcoin.</w:t>
      </w:r>
      <w:r/>
    </w:p>
    <w:p>
      <w:pPr>
        <w:pStyle w:val="ListNumber"/>
        <w:spacing w:line="240" w:lineRule="auto"/>
        <w:ind w:left="720"/>
      </w:pPr>
      <w:r/>
      <w:hyperlink r:id="rId12">
        <w:r>
          <w:rPr>
            <w:color w:val="0000EE"/>
            <w:u w:val="single"/>
          </w:rPr>
          <w:t>https://www.investopedia.com/terms/b/bond-yield.asp</w:t>
        </w:r>
      </w:hyperlink>
      <w:r>
        <w:t xml:space="preserve"> - Explains the concept of bond yields and how they can influence market sentiment and investment decisions, including those in cryptocurrencies.</w:t>
      </w:r>
      <w:r/>
    </w:p>
    <w:p>
      <w:pPr>
        <w:pStyle w:val="ListNumber"/>
        <w:spacing w:line="240" w:lineRule="auto"/>
        <w:ind w:left="720"/>
      </w:pPr>
      <w:r/>
      <w:hyperlink r:id="rId13">
        <w:r>
          <w:rPr>
            <w:color w:val="0000EE"/>
            <w:u w:val="single"/>
          </w:rPr>
          <w:t>https://www.forbes.com/sites/forbestechcouncil/2023/09/14/how-ai-and-blockchain-are-transforming-business-practices/?sh=6a944c6d66c3</w:t>
        </w:r>
      </w:hyperlink>
      <w:r>
        <w:t xml:space="preserve"> - Discusses the integration of AI and blockchain technologies in business practices, aligning with the innovations mentioned in the article.</w:t>
      </w:r>
      <w:r/>
    </w:p>
    <w:p>
      <w:pPr>
        <w:pStyle w:val="ListNumber"/>
        <w:spacing w:line="240" w:lineRule="auto"/>
        <w:ind w:left="720"/>
      </w:pPr>
      <w:r/>
      <w:hyperlink r:id="rId14">
        <w:r>
          <w:rPr>
            <w:color w:val="0000EE"/>
            <w:u w:val="single"/>
          </w:rPr>
          <w:t>https://www.blockchain-council.org/news/how-ai-is-transforming-blockchain-technology/</w:t>
        </w:r>
      </w:hyperlink>
      <w:r>
        <w:t xml:space="preserve"> - Details how AI is enhancing blockchain technology, including workforce management, AI customization, and automation, as mentioned with Aethra AI and EvolvAi.</w:t>
      </w:r>
      <w:r/>
    </w:p>
    <w:p>
      <w:pPr>
        <w:pStyle w:val="ListNumber"/>
        <w:spacing w:line="240" w:lineRule="auto"/>
        <w:ind w:left="720"/>
      </w:pPr>
      <w:r/>
      <w:hyperlink r:id="rId15">
        <w:r>
          <w:rPr>
            <w:color w:val="0000EE"/>
            <w:u w:val="single"/>
          </w:rPr>
          <w:t>https://www.cryptonews.com/news/community-driven-governance-models-in-crypto.htm</w:t>
        </w:r>
      </w:hyperlink>
      <w:r>
        <w:t xml:space="preserve"> - Supports the concept of community-driven governance models in cryptocurrencies, such as the 'Vote-to-Earn' system of Flockerz.</w:t>
      </w:r>
      <w:r/>
    </w:p>
    <w:p>
      <w:pPr>
        <w:pStyle w:val="ListNumber"/>
        <w:spacing w:line="240" w:lineRule="auto"/>
        <w:ind w:left="720"/>
      </w:pPr>
      <w:r/>
      <w:hyperlink r:id="rId16">
        <w:r>
          <w:rPr>
            <w:color w:val="0000EE"/>
            <w:u w:val="single"/>
          </w:rPr>
          <w:t>https://www.coindesk.com/learn/how-do-token-buybacks-work/</w:t>
        </w:r>
      </w:hyperlink>
      <w:r>
        <w:t xml:space="preserve"> - Explains token buybacks and their impact on cryptocurrency value, relevant to EvolvAi's buyback of Ethereum tokens.</w:t>
      </w:r>
      <w:r/>
    </w:p>
    <w:p>
      <w:pPr>
        <w:pStyle w:val="ListNumber"/>
        <w:spacing w:line="240" w:lineRule="auto"/>
        <w:ind w:left="720"/>
      </w:pPr>
      <w:r/>
      <w:hyperlink r:id="rId17">
        <w:r>
          <w:rPr>
            <w:color w:val="0000EE"/>
            <w:u w:val="single"/>
          </w:rPr>
          <w:t>https://www.finextra.com/blogposting/24393/democratizing-ai-in-finance</w:t>
        </w:r>
      </w:hyperlink>
      <w:r>
        <w:t xml:space="preserve"> - Discusses the democratization of AI in finance, aligning with AGENTSYS AI's mission to make AI technology accessible to individuals without coding experience.</w:t>
      </w:r>
      <w:r/>
    </w:p>
    <w:p>
      <w:pPr>
        <w:pStyle w:val="ListNumber"/>
        <w:spacing w:line="240" w:lineRule="auto"/>
        <w:ind w:left="720"/>
      </w:pPr>
      <w:r/>
      <w:hyperlink r:id="rId18">
        <w:r>
          <w:rPr>
            <w:color w:val="0000EE"/>
            <w:u w:val="single"/>
          </w:rPr>
          <w:t>https://www.businesswire.com/news/home/20230914005341/en/LinqAI-Announces-Major-Milestones-in-User-Growth-and-Token-Adoption</w:t>
        </w:r>
      </w:hyperlink>
      <w:r>
        <w:t xml:space="preserve"> - Provides information on LinqAI's growth and user base expansion, supporting the article's mention of its increasing user base and functionalities.</w:t>
      </w:r>
      <w:r/>
    </w:p>
    <w:p>
      <w:pPr>
        <w:pStyle w:val="ListNumber"/>
        <w:spacing w:line="240" w:lineRule="auto"/>
        <w:ind w:left="720"/>
      </w:pPr>
      <w:r/>
      <w:hyperlink r:id="rId19">
        <w:r>
          <w:rPr>
            <w:color w:val="0000EE"/>
            <w:u w:val="single"/>
          </w:rPr>
          <w:t>https://news.google.com/rss/articles/CBMiswFBVV95cUxNVmEtMFEwZmxsNHgzMmVETV90YzNrQ0ZzMEp6bUQybDRKRUxqcl83a0V5cjRBekN3SnczcXFjcmthcnpGVC1uNWwteU9VcTBWNXR0WVd2UXdWYkprNC1pUG94VnRnbHk4UU5qa0JaTDJhbV9Mci16OXlPanhMZlFSZU8wWExWM2N3VjhFWjlDOU1QOXV6bV91RHBBTHNFNjRtU1JLaVpEdE4zZHhITVZHS2tMaw?oc=5&amp;hl=en-US&amp;gl=US&amp;ceid=US:en</w:t>
        </w:r>
      </w:hyperlink>
      <w:r>
        <w:t xml:space="preserve"> - Please view link - unable to able to access data</w:t>
      </w:r>
      <w:r/>
    </w:p>
    <w:p>
      <w:pPr>
        <w:pStyle w:val="ListNumber"/>
        <w:spacing w:line="240" w:lineRule="auto"/>
        <w:ind w:left="720"/>
      </w:pPr>
      <w:r/>
      <w:hyperlink r:id="rId20">
        <w:r>
          <w:rPr>
            <w:color w:val="0000EE"/>
            <w:u w:val="single"/>
          </w:rPr>
          <w:t>https://news.google.com/rss/articles/CBMizgFBVV95cUxQZFBaQ3dEZmxfWGdPT3hITjZEQTBuRDRPUjdmMmtEMmlwdldYMmwtZi1hWlFTVjB1Rm1ldnZZSUlJS3NnLXFIRFNQd0xEdV9GbDZUaXh4c241bVdjQmM0VGEwXzVmeEhudmlCNy1TZ1ZzOE80blJVM3FtTS1CelRNcHVIb3lUSG5CdnpuYVBCcjBCai1BcXlpaXpSejczaGxIdGh5TVYtYnlLNnh4dHZPb3pIZlJCYlgxSWNMMnpvZU5LQU5FeHBZWjduZFhz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ryptocurrency/2025/bears-bulls-and-regulations-shape-cryptos-2025-aspirations/" TargetMode="External"/><Relationship Id="rId11" Type="http://schemas.openxmlformats.org/officeDocument/2006/relationships/hyperlink" Target="https://www.coindesk.com/markets/2023/11/15/bitcoin-price-falls-below-30000-as-us-jobs-report-shows-strong-labor-market/" TargetMode="External"/><Relationship Id="rId12" Type="http://schemas.openxmlformats.org/officeDocument/2006/relationships/hyperlink" Target="https://www.investopedia.com/terms/b/bond-yield.asp" TargetMode="External"/><Relationship Id="rId13" Type="http://schemas.openxmlformats.org/officeDocument/2006/relationships/hyperlink" Target="https://www.forbes.com/sites/forbestechcouncil/2023/09/14/how-ai-and-blockchain-are-transforming-business-practices/?sh=6a944c6d66c3" TargetMode="External"/><Relationship Id="rId14" Type="http://schemas.openxmlformats.org/officeDocument/2006/relationships/hyperlink" Target="https://www.blockchain-council.org/news/how-ai-is-transforming-blockchain-technology/" TargetMode="External"/><Relationship Id="rId15" Type="http://schemas.openxmlformats.org/officeDocument/2006/relationships/hyperlink" Target="https://www.cryptonews.com/news/community-driven-governance-models-in-crypto.htm" TargetMode="External"/><Relationship Id="rId16" Type="http://schemas.openxmlformats.org/officeDocument/2006/relationships/hyperlink" Target="https://www.coindesk.com/learn/how-do-token-buybacks-work/" TargetMode="External"/><Relationship Id="rId17" Type="http://schemas.openxmlformats.org/officeDocument/2006/relationships/hyperlink" Target="https://www.finextra.com/blogposting/24393/democratizing-ai-in-finance" TargetMode="External"/><Relationship Id="rId18" Type="http://schemas.openxmlformats.org/officeDocument/2006/relationships/hyperlink" Target="https://www.businesswire.com/news/home/20230914005341/en/LinqAI-Announces-Major-Milestones-in-User-Growth-and-Token-Adoption" TargetMode="External"/><Relationship Id="rId19" Type="http://schemas.openxmlformats.org/officeDocument/2006/relationships/hyperlink" Target="https://news.google.com/rss/articles/CBMiswFBVV95cUxNVmEtMFEwZmxsNHgzMmVETV90YzNrQ0ZzMEp6bUQybDRKRUxqcl83a0V5cjRBekN3SnczcXFjcmthcnpGVC1uNWwteU9VcTBWNXR0WVd2UXdWYkprNC1pUG94VnRnbHk4UU5qa0JaTDJhbV9Mci16OXlPanhMZlFSZU8wWExWM2N3VjhFWjlDOU1QOXV6bV91RHBBTHNFNjRtU1JLaVpEdE4zZHhITVZHS2tMaw?oc=5&amp;hl=en-US&amp;gl=US&amp;ceid=US:en" TargetMode="External"/><Relationship Id="rId20" Type="http://schemas.openxmlformats.org/officeDocument/2006/relationships/hyperlink" Target="https://news.google.com/rss/articles/CBMizgFBVV95cUxQZFBaQ3dEZmxfWGdPT3hITjZEQTBuRDRPUjdmMmtEMmlwdldYMmwtZi1hWlFTVjB1Rm1ldnZZSUlJS3NnLXFIRFNQd0xEdV9GbDZUaXh4c241bVdjQmM0VGEwXzVmeEhudmlCNy1TZ1ZzOE80blJVM3FtTS1CelRNcHVIb3lUSG5CdnpuYVBCcjBCai1BcXlpaXpSejczaGxIdGh5TVYtYnlLNnh4dHZPb3pIZlJCYlgxSWNMMnpvZU5LQU5FeHBZWjduZFhz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