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implements new regulation to modernise the construction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Union has officially implemented the new Construction Products Regulation, aimed at transforming the construction industry and enhancing competitiveness across the EU Single Market. This updated regulation will replace the previous guidelines established in 2011, reflecting the need for modernisation in response to evolving industry challenges.</w:t>
      </w:r>
      <w:r/>
    </w:p>
    <w:p>
      <w:r/>
      <w:r>
        <w:t>A central component of this new framework is the introduction of Digital Product Passports. These digital records are designed to provide comprehensive information regarding construction products, encompassing performance metrics, safety data, and sustainability indicators. The forthcoming system will also facilitate precise carbon footprint calculations for entire buildings, thereby enhancing transparency in the construction sector. “The regulation helps builders, architects, engineers, consumers, and public authorities make informed choices based on the performance and sustainability of construction products," stated a representative from the EU Commission.</w:t>
      </w:r>
      <w:r/>
    </w:p>
    <w:p>
      <w:r/>
      <w:r>
        <w:t>In addition to improving product transparency, the regulation places a strong emphasis on offsite construction methods, particularly prefabricated and modular construction techniques. These methods have shown significant potential to reduce construction waste, with estimates suggesting a decrease of 10-15% during the manufacturing process. Such innovations also promote circularity, as prefabricated units can be disassembled and repurposed once they reach the end of their lifecycle. Furthermore, these offsite methods are expected to streamline housing development projects, substantially lowering costs and accelerating timelines for construction.</w:t>
      </w:r>
      <w:r/>
    </w:p>
    <w:p>
      <w:r/>
      <w:r>
        <w:t>The new regulation not only seeks to reinforce sustainable practices in the construction industry but also aims to position the EU as a leader in innovative and environmentally-conscious building methods. As the EU continues to prioritise enhancing productivity within the construction sector, the focus will be on mitigating environmental impacts while fostering economic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https://en.wikipedia.org/wiki/Regulation_(EU)_No._305/2011</w:t>
        </w:r>
      </w:hyperlink>
      <w:r>
        <w:t xml:space="preserve"> - This URL corroborates the background and key components of the Construction Products Regulation (CPR), including the replacement of the previous Construction Products Directive and the introduction of declarations of performance.</w:t>
      </w:r>
      <w:r/>
    </w:p>
    <w:p>
      <w:pPr>
        <w:pStyle w:val="ListNumber"/>
        <w:spacing w:line="240" w:lineRule="auto"/>
        <w:ind w:left="720"/>
      </w:pPr>
      <w:r/>
      <w:hyperlink r:id="rId11">
        <w:r>
          <w:rPr>
            <w:color w:val="0000EE"/>
            <w:u w:val="single"/>
          </w:rPr>
          <w:t>https://www.protokol.com/dpp-industries/construction/</w:t>
        </w:r>
      </w:hyperlink>
      <w:r>
        <w:t xml:space="preserve"> - This URL supports the introduction of Digital Product Passports, their role in providing comprehensive information on construction products, and their impact on sustainability and supply chain traceability.</w:t>
      </w:r>
      <w:r/>
    </w:p>
    <w:p>
      <w:pPr>
        <w:pStyle w:val="ListNumber"/>
        <w:spacing w:line="240" w:lineRule="auto"/>
        <w:ind w:left="720"/>
      </w:pPr>
      <w:r/>
      <w:hyperlink r:id="rId12">
        <w:r>
          <w:rPr>
            <w:color w:val="0000EE"/>
            <w:u w:val="single"/>
          </w:rPr>
          <w:t>https://www.europarl.europa.eu/RegData/etudes/ATAG/2023/751381/EPRS_ATA(2023)751381_EN.pdf</w:t>
        </w:r>
      </w:hyperlink>
      <w:r>
        <w:t xml:space="preserve"> - This URL provides details on the revision of the Construction Products Regulation, including aims to improve the internal market, address implementation challenges, and support the green and digital transition.</w:t>
      </w:r>
      <w:r/>
    </w:p>
    <w:p>
      <w:pPr>
        <w:pStyle w:val="ListNumber"/>
        <w:spacing w:line="240" w:lineRule="auto"/>
        <w:ind w:left="720"/>
      </w:pPr>
      <w:r/>
      <w:hyperlink r:id="rId13">
        <w:r>
          <w:rPr>
            <w:color w:val="0000EE"/>
            <w:u w:val="single"/>
          </w:rPr>
          <w:t>https://globalabc.org/index.php/resources/publications/digital-construction-material-passport-dcmp</w:t>
        </w:r>
      </w:hyperlink>
      <w:r>
        <w:t xml:space="preserve"> - This URL explains the concept of Digital Construction Material Passports, their role in enhancing transparency and sustainability, and the types of data they contain.</w:t>
      </w:r>
      <w:r/>
    </w:p>
    <w:p>
      <w:pPr>
        <w:pStyle w:val="ListNumber"/>
        <w:spacing w:line="240" w:lineRule="auto"/>
        <w:ind w:left="720"/>
      </w:pPr>
      <w:r/>
      <w:hyperlink r:id="rId10">
        <w:r>
          <w:rPr>
            <w:color w:val="0000EE"/>
            <w:u w:val="single"/>
          </w:rPr>
          <w:t>https://en.wikipedia.org/wiki/Regulation_(EU)_No._305/2011</w:t>
        </w:r>
      </w:hyperlink>
      <w:r>
        <w:t xml:space="preserve"> - This URL further details the responsibilities of manufacturers, distributors, and Member States under the CPR, including the need for declarations of performance and market surveillance.</w:t>
      </w:r>
      <w:r/>
    </w:p>
    <w:p>
      <w:pPr>
        <w:pStyle w:val="ListNumber"/>
        <w:spacing w:line="240" w:lineRule="auto"/>
        <w:ind w:left="720"/>
      </w:pPr>
      <w:r/>
      <w:hyperlink r:id="rId11">
        <w:r>
          <w:rPr>
            <w:color w:val="0000EE"/>
            <w:u w:val="single"/>
          </w:rPr>
          <w:t>https://www.protokol.com/dpp-industries/construction/</w:t>
        </w:r>
      </w:hyperlink>
      <w:r>
        <w:t xml:space="preserve"> - This URL highlights the future mandate for Digital Product Passports in the EU, their impact on compliance with upcoming legislation, and their role in business transformation.</w:t>
      </w:r>
      <w:r/>
    </w:p>
    <w:p>
      <w:pPr>
        <w:pStyle w:val="ListNumber"/>
        <w:spacing w:line="240" w:lineRule="auto"/>
        <w:ind w:left="720"/>
      </w:pPr>
      <w:r/>
      <w:hyperlink r:id="rId12">
        <w:r>
          <w:rPr>
            <w:color w:val="0000EE"/>
            <w:u w:val="single"/>
          </w:rPr>
          <w:t>https://www.europarl.europa.eu/RegData/etudes/ATAG/2023/751381/EPRS_ATA(2023)751381_EN.pdf</w:t>
        </w:r>
      </w:hyperlink>
      <w:r>
        <w:t xml:space="preserve"> - This URL discusses the European Commission's proposal to revise the CPR, focusing on improving the internal market, simplifying the legal framework, and supporting sustainable and circular business models.</w:t>
      </w:r>
      <w:r/>
    </w:p>
    <w:p>
      <w:pPr>
        <w:pStyle w:val="ListNumber"/>
        <w:spacing w:line="240" w:lineRule="auto"/>
        <w:ind w:left="720"/>
      </w:pPr>
      <w:r/>
      <w:hyperlink r:id="rId13">
        <w:r>
          <w:rPr>
            <w:color w:val="0000EE"/>
            <w:u w:val="single"/>
          </w:rPr>
          <w:t>https://globalabc.org/index.php/resources/publications/digital-construction-material-passport-dcmp</w:t>
        </w:r>
      </w:hyperlink>
      <w:r>
        <w:t xml:space="preserve"> - This URL elaborates on how material passports support informed decision-making in construction by providing detailed information on product composition and environmental impact.</w:t>
      </w:r>
      <w:r/>
    </w:p>
    <w:p>
      <w:pPr>
        <w:pStyle w:val="ListNumber"/>
        <w:spacing w:line="240" w:lineRule="auto"/>
        <w:ind w:left="720"/>
      </w:pPr>
      <w:r/>
      <w:hyperlink r:id="rId10">
        <w:r>
          <w:rPr>
            <w:color w:val="0000EE"/>
            <w:u w:val="single"/>
          </w:rPr>
          <w:t>https://en.wikipedia.org/wiki/Regulation_(EU)_No._305/2011</w:t>
        </w:r>
      </w:hyperlink>
      <w:r>
        <w:t xml:space="preserve"> - This URL explains the role of harmonized standards and European Assessment Documents in the CPR, which is crucial for the new regulation's emphasis on standardization and transparency.</w:t>
      </w:r>
      <w:r/>
    </w:p>
    <w:p>
      <w:pPr>
        <w:pStyle w:val="ListNumber"/>
        <w:spacing w:line="240" w:lineRule="auto"/>
        <w:ind w:left="720"/>
      </w:pPr>
      <w:r/>
      <w:hyperlink r:id="rId11">
        <w:r>
          <w:rPr>
            <w:color w:val="0000EE"/>
            <w:u w:val="single"/>
          </w:rPr>
          <w:t>https://www.protokol.com/dpp-industries/construction/</w:t>
        </w:r>
      </w:hyperlink>
      <w:r>
        <w:t xml:space="preserve"> - This URL discusses how Digital Product Passports can provide a holistic view of a product's lifecycle and environmental impact, aligning with the EU's goals for sustainable construction practices.</w:t>
      </w:r>
      <w:r/>
    </w:p>
    <w:p>
      <w:pPr>
        <w:pStyle w:val="ListNumber"/>
        <w:spacing w:line="240" w:lineRule="auto"/>
        <w:ind w:left="720"/>
      </w:pPr>
      <w:r/>
      <w:hyperlink r:id="rId12">
        <w:r>
          <w:rPr>
            <w:color w:val="0000EE"/>
            <w:u w:val="single"/>
          </w:rPr>
          <w:t>https://www.europarl.europa.eu/RegData/etudes/ATAG/2023/751381/EPRS_ATA(2023)751381_EN.pdf</w:t>
        </w:r>
      </w:hyperlink>
      <w:r>
        <w:t xml:space="preserve"> - This URL outlines the EU's strategy to position itself as a leader in innovative and environmentally conscious building methods, including the promotion of offsite construction techniques.</w:t>
      </w:r>
      <w:r/>
    </w:p>
    <w:p>
      <w:pPr>
        <w:pStyle w:val="ListNumber"/>
        <w:spacing w:line="240" w:lineRule="auto"/>
        <w:ind w:left="720"/>
      </w:pPr>
      <w:r/>
      <w:hyperlink r:id="rId14">
        <w:r>
          <w:rPr>
            <w:color w:val="0000EE"/>
            <w:u w:val="single"/>
          </w:rPr>
          <w:t>https://esgnews.com/eu-adopts-new-rules-to-boost-sustainability-and-innovation-in-construction/?utm_source=rss&amp;utm_medium=rss&amp;utm_campaign=eu-adopts-new-rules-to-boost-sustainability-and-innovation-in-construction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Regulation_(EU)_No._305/2011" TargetMode="External"/><Relationship Id="rId11" Type="http://schemas.openxmlformats.org/officeDocument/2006/relationships/hyperlink" Target="https://www.protokol.com/dpp-industries/construction/" TargetMode="External"/><Relationship Id="rId12" Type="http://schemas.openxmlformats.org/officeDocument/2006/relationships/hyperlink" Target="https://www.europarl.europa.eu/RegData/etudes/ATAG/2023/751381/EPRS_ATA(2023)751381_EN.pdf" TargetMode="External"/><Relationship Id="rId13" Type="http://schemas.openxmlformats.org/officeDocument/2006/relationships/hyperlink" Target="https://globalabc.org/index.php/resources/publications/digital-construction-material-passport-dcmp" TargetMode="External"/><Relationship Id="rId14" Type="http://schemas.openxmlformats.org/officeDocument/2006/relationships/hyperlink" Target="https://esgnews.com/eu-adopts-new-rules-to-boost-sustainability-and-innovation-in-construction/?utm_source=rss&amp;utm_medium=rss&amp;utm_campaign=eu-adopts-new-rules-to-boost-sustainability-and-innovation-in-constr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