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Europe's digital opportunity in the age of AI and automation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European leaders are increasingly recognising the impending shifts in technological landscapes, particularly with the rise of artificial intelligence (AI) and automation. A report by the Financial Times explores the potential for leveraging these advancements to overcome historical economic disparities between Europe and the United States.</w:t>
      </w:r>
      <w:r/>
    </w:p>
    <w:p>
      <w:r/>
      <w:r>
        <w:t>The discussion, framed by former European Central Bank President Mario Draghi's previous assessments, highlights Europe’s struggle to capitalise fully on the digital revolution that has accelerated productivity in the US. The existing gap in productivity growth has largely been fuelled by the explosive success of Silicon Valley, characterised by its freer market. However, the article posits that Europe’s more regulated mixed economy could pave the way for a distinctive digital success narrative rooted in collaborative public-private partnerships.</w:t>
      </w:r>
      <w:r/>
    </w:p>
    <w:p>
      <w:r/>
      <w:r>
        <w:t>One of the main ideas presented is the concept of "public goods of opportunity," which refers to digital services that are privately funded but widely accessible due to their low cost. As pointed out in the article, services like Google and Facebook exemplify how the digital landscape can offer valuable opportunities to the public without direct costs. The crux of the argument is that European governments could further incentivise this model by purchasing standard digital services en masse, allowing citizens and businesses—especially small enterprises—to access essential tools such as online accounting or payroll management at no expense.</w:t>
      </w:r>
      <w:r/>
    </w:p>
    <w:p>
      <w:r/>
      <w:r>
        <w:t>Moreover, the potential for advancements in the healthcare sector is notable. While the US struggles with a fragmented private health insurance model, Europe’s robust public health systems are positioned to implement a similar public-private model in digital healthcare. The article mentions examples like 23andMe, a genetic-testing company that charges for access to its services. The Financial Times suggests that if European health systems were to fund genetic testing, a much larger pool of data could be collected and analysed, helping advance personalised medicine and boosting the healthcare industry.</w:t>
      </w:r>
      <w:r/>
    </w:p>
    <w:p>
      <w:r/>
      <w:r>
        <w:t>The conversation surrounding social media regulation also emerges. The US has been embroiled in debates about the necessity of regulating the harmful impacts of social media platforms. In contrast, the article argues that Europe could take a more proactive stance by establishing frameworks for better governance of these digital spaces. By utilising state institutions, such as universities and publicly funded broadcasters, Europe could mitigate the profit-driven algorithms that contribute to polarisation and outrage within social discussions on social media.</w:t>
      </w:r>
      <w:r/>
    </w:p>
    <w:p>
      <w:r/>
      <w:r>
        <w:t>Ultimately, the Financial Times paints a picture of Europe not just catching up technologically, but potentially redefining how digital services are structured and accessed. The notion is that by embracing the reimagined role of public goods within a digital economy, Europe can drive productivity growth and stimulate new forms of innovation, thereby creating the next generation of successful internet enterprises. Through these transformative approaches, combined with the integration of emerging automation technologies, the future of European businesses may be on the cusp of a significant evolution.</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https://www.citigroup.com/global/insights/the-draghi-report-digitalization-decarbonization-and-defense</w:t>
        </w:r>
      </w:hyperlink>
      <w:r>
        <w:t xml:space="preserve"> - This link corroborates the discussion on Europe's struggle to capitalize on the digital revolution and the productivity gap between the EU and the US, as highlighted in Mario Draghi's report.</w:t>
      </w:r>
      <w:r/>
    </w:p>
    <w:p>
      <w:pPr>
        <w:pStyle w:val="ListNumber"/>
        <w:spacing w:line="240" w:lineRule="auto"/>
        <w:ind w:left="720"/>
      </w:pPr>
      <w:r/>
      <w:hyperlink r:id="rId11">
        <w:r>
          <w:rPr>
            <w:color w:val="0000EE"/>
            <w:u w:val="single"/>
          </w:rPr>
          <w:t>https://piernext.portdebarcelona.cat/en/economy/europe-and-innovation-according-to-mario-draghi/</w:t>
        </w:r>
      </w:hyperlink>
      <w:r>
        <w:t xml:space="preserve"> - This article supports the idea that Europe needs to close the innovation gap with the US and China, and it details the barriers to innovation in Europe as identified in the Draghi Report.</w:t>
      </w:r>
      <w:r/>
    </w:p>
    <w:p>
      <w:pPr>
        <w:pStyle w:val="ListNumber"/>
        <w:spacing w:line="240" w:lineRule="auto"/>
        <w:ind w:left="720"/>
      </w:pPr>
      <w:r/>
      <w:hyperlink r:id="rId12">
        <w:r>
          <w:rPr>
            <w:color w:val="0000EE"/>
            <w:u w:val="single"/>
          </w:rPr>
          <w:t>https://www.lawfaremedia.org/article/is-europe-about-to-slow-the-pace-on-digital-regulations</w:t>
        </w:r>
      </w:hyperlink>
      <w:r>
        <w:t xml:space="preserve"> - This link explains the reasons behind Europe's slower productivity growth compared to the US, including the lag in the digital revolution and the regulatory burdens on European companies.</w:t>
      </w:r>
      <w:r/>
    </w:p>
    <w:p>
      <w:pPr>
        <w:pStyle w:val="ListNumber"/>
        <w:spacing w:line="240" w:lineRule="auto"/>
        <w:ind w:left="720"/>
      </w:pPr>
      <w:r/>
      <w:hyperlink r:id="rId12">
        <w:r>
          <w:rPr>
            <w:color w:val="0000EE"/>
            <w:u w:val="single"/>
          </w:rPr>
          <w:t>https://www.lawfaremedia.org/article/is-europe-about-to-slow-the-pace-on-digital-regulations</w:t>
        </w:r>
      </w:hyperlink>
      <w:r>
        <w:t xml:space="preserve"> - This article discusses how Europe's mixed economy and regulatory environment affect its ability to innovate and compete in the digital sector.</w:t>
      </w:r>
      <w:r/>
    </w:p>
    <w:p>
      <w:pPr>
        <w:pStyle w:val="ListNumber"/>
        <w:spacing w:line="240" w:lineRule="auto"/>
        <w:ind w:left="720"/>
      </w:pPr>
      <w:r/>
      <w:hyperlink r:id="rId11">
        <w:r>
          <w:rPr>
            <w:color w:val="0000EE"/>
            <w:u w:val="single"/>
          </w:rPr>
          <w:t>https://piernext.portdebarcelona.cat/en/economy/europe-and-innovation-according-to-mario-draghi/</w:t>
        </w:r>
      </w:hyperlink>
      <w:r>
        <w:t xml:space="preserve"> - This source supports the concept of improving the transition from innovation to commercialization and addressing skills gaps, as proposed in the Draghi Report.</w:t>
      </w:r>
      <w:r/>
    </w:p>
    <w:p>
      <w:pPr>
        <w:pStyle w:val="ListNumber"/>
        <w:spacing w:line="240" w:lineRule="auto"/>
        <w:ind w:left="720"/>
      </w:pPr>
      <w:r/>
      <w:hyperlink r:id="rId10">
        <w:r>
          <w:rPr>
            <w:color w:val="0000EE"/>
            <w:u w:val="single"/>
          </w:rPr>
          <w:t>https://www.citigroup.com/global/insights/the-draghi-report-digitalization-decarbonization-and-defense</w:t>
        </w:r>
      </w:hyperlink>
      <w:r>
        <w:t xml:space="preserve"> - This link highlights the need for Europe to drive productivity growth through attracting and retaining highly skilled talent and incentivizing innovation, as suggested in the Draghi Report.</w:t>
      </w:r>
      <w:r/>
    </w:p>
    <w:p>
      <w:pPr>
        <w:pStyle w:val="ListNumber"/>
        <w:spacing w:line="240" w:lineRule="auto"/>
        <w:ind w:left="720"/>
      </w:pPr>
      <w:r/>
      <w:hyperlink r:id="rId11">
        <w:r>
          <w:rPr>
            <w:color w:val="0000EE"/>
            <w:u w:val="single"/>
          </w:rPr>
          <w:t>https://piernext.portdebarcelona.cat/en/economy/europe-and-innovation-according-to-mario-draghi/</w:t>
        </w:r>
      </w:hyperlink>
      <w:r>
        <w:t xml:space="preserve"> - This article discusses the proposal to reform R&amp;D programs and improve the coordination of European and national programs to enhance innovation in Europe.</w:t>
      </w:r>
      <w:r/>
    </w:p>
    <w:p>
      <w:pPr>
        <w:pStyle w:val="ListNumber"/>
        <w:spacing w:line="240" w:lineRule="auto"/>
        <w:ind w:left="720"/>
      </w:pPr>
      <w:r/>
      <w:hyperlink r:id="rId12">
        <w:r>
          <w:rPr>
            <w:color w:val="0000EE"/>
            <w:u w:val="single"/>
          </w:rPr>
          <w:t>https://www.lawfaremedia.org/article/is-europe-about-to-slow-the-pace-on-digital-regulations</w:t>
        </w:r>
      </w:hyperlink>
      <w:r>
        <w:t xml:space="preserve"> - This source explains how excessive regulation in the EU hampers innovation, especially for small and medium enterprises, and suggests moderating the pace of digital regulations.</w:t>
      </w:r>
      <w:r/>
    </w:p>
    <w:p>
      <w:pPr>
        <w:pStyle w:val="ListNumber"/>
        <w:spacing w:line="240" w:lineRule="auto"/>
        <w:ind w:left="720"/>
      </w:pPr>
      <w:r/>
      <w:hyperlink r:id="rId11">
        <w:r>
          <w:rPr>
            <w:color w:val="0000EE"/>
            <w:u w:val="single"/>
          </w:rPr>
          <w:t>https://piernext.portdebarcelona.cat/en/economy/europe-and-innovation-according-to-mario-draghi/</w:t>
        </w:r>
      </w:hyperlink>
      <w:r>
        <w:t xml:space="preserve"> - This article supports the idea of facilitating the market orientation of European innovation and reducing bureaucracy to help entrepreneurs commercialize their products and services.</w:t>
      </w:r>
      <w:r/>
    </w:p>
    <w:p>
      <w:pPr>
        <w:pStyle w:val="ListNumber"/>
        <w:spacing w:line="240" w:lineRule="auto"/>
        <w:ind w:left="720"/>
      </w:pPr>
      <w:r/>
      <w:hyperlink r:id="rId10">
        <w:r>
          <w:rPr>
            <w:color w:val="0000EE"/>
            <w:u w:val="single"/>
          </w:rPr>
          <w:t>https://www.citigroup.com/global/insights/the-draghi-report-digitalization-decarbonization-and-defense</w:t>
        </w:r>
      </w:hyperlink>
      <w:r>
        <w:t xml:space="preserve"> - This link emphasizes the importance of addressing Europe's dependence on third countries in key areas, including security and technology, as part of the Draghi Report's recommendations.</w:t>
      </w:r>
      <w:r/>
    </w:p>
    <w:p>
      <w:pPr>
        <w:pStyle w:val="ListNumber"/>
        <w:spacing w:line="240" w:lineRule="auto"/>
        <w:ind w:left="720"/>
      </w:pPr>
      <w:r/>
      <w:hyperlink r:id="rId13">
        <w:r>
          <w:rPr>
            <w:color w:val="0000EE"/>
            <w:u w:val="single"/>
          </w:rPr>
          <w:t>https://www.ft.com/content/f6059701-731d-4137-87a5-a6c51a95b1d0</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citigroup.com/global/insights/the-draghi-report-digitalization-decarbonization-and-defense" TargetMode="External"/><Relationship Id="rId11" Type="http://schemas.openxmlformats.org/officeDocument/2006/relationships/hyperlink" Target="https://piernext.portdebarcelona.cat/en/economy/europe-and-innovation-according-to-mario-draghi/" TargetMode="External"/><Relationship Id="rId12" Type="http://schemas.openxmlformats.org/officeDocument/2006/relationships/hyperlink" Target="https://www.lawfaremedia.org/article/is-europe-about-to-slow-the-pace-on-digital-regulations" TargetMode="External"/><Relationship Id="rId13" Type="http://schemas.openxmlformats.org/officeDocument/2006/relationships/hyperlink" Target="https://www.ft.com/content/f6059701-731d-4137-87a5-a6c51a95b1d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