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ruling highlights ethical obligations of legal practitioners amidst AI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ruling handed down by the High Court in January 2025, a cautionary tale emerged that underscored the essential ethical obligations of legal practitioners when submitting information before a court. This case began as a straightforward application for leave to appeal but transformed into a substantial warning about the implications of unverified legal research, particularly in the context of emerging technologies like artificial intelligence (AI).</w:t>
      </w:r>
      <w:r/>
    </w:p>
    <w:p>
      <w:r/>
      <w:r>
        <w:t>The core of the matter revolved around a supplementary notice of appeal that was drafted by a candidate attorney and included multiple citations of relevant case law. However, it quickly became apparent that these citations were not verified either by the principal attorney or by counsel prior to their presentation in court. The presiding judge, upon scholarly examination, discovered that only two of the nine cited cases were valid, and even one of those featured an incorrect citation while the relevance of these cases was found to be negligible.</w:t>
      </w:r>
      <w:r/>
    </w:p>
    <w:p>
      <w:r/>
      <w:r>
        <w:t>This discrepancy prompted the judge to summon explanations from all parties involved. Counsel initially attributed her oversight to an overburdened schedule, claiming she relied on the references supplied by the candidate attorney without having personally examined the cited cases. The candidate attorney defended her research, stating that the references were drawn from law journals accessed through her university portal but failed to provide specific details. When pressed regarding the potential use of AI tools such as ChatGPT for her research, the candidate attorney categorically denied it. The principal attorney later appeared in court, providing inconsistent explanations while failing to substantiate the cited authorities. Despite multiple opportunities to present the referenced cases, no credible information was offered, leading the court to conclude that the citations were likely fabricated.</w:t>
      </w:r>
      <w:r/>
    </w:p>
    <w:p>
      <w:r/>
      <w:r>
        <w:t>In the judgment, the judge was clear in condemning the actions of those involved, emphasising the unwavering duty of legal practitioners to ensure the accuracy of all materials presented before the court. The judgement indicated that this responsibility cannot be shifted to junior colleagues, technological tools, or artificial intelligence. While it refrained from directly linking the inaccuracies to AI, the pattern observed resembled the "hallucinations" often associated with generative AI technologies, whereby such tools generate plausible yet fictitious information.</w:t>
      </w:r>
      <w:r/>
    </w:p>
    <w:p>
      <w:r/>
      <w:r>
        <w:t>The judge remarked, “Relying on AI technologies when doing legal research is irresponsible and downright unprofessional.” Nevertheless, this viewpoint simplifies the complexities surrounding the use of AI in law. The case serves to highlight the risks associated with treating AI as a primary source of legal information but does not dismiss the valuable applications of AI within legal practice. When used judiciously, AI can enhance practitioners’ functions by refining research processes, uncovering patterns, and, in certain contexts, even helping to draft initial legal documents. However, outputs generated from such technologies necessitate careful scrutiny and validation against authoritative sources.</w:t>
      </w:r>
      <w:r/>
    </w:p>
    <w:p>
      <w:r/>
      <w:r>
        <w:t xml:space="preserve">The ruling ultimately calls for a careful balance between innovation and accountability regarding the rapid advancements in AI technology. While AI can augment the judiciousness and proficiency of legal professionals, it is not a replacement for their expertise. The judgement advocates for responsible integration of AI tools within legal frameworks and emphasises the need for continued investment in practitioner education and the development of more sophisticated research technologies. This dual focus on ethical vigilance and technological advancement presents a roadmap for the legal profession navigating the complexities of AI integration. </w:t>
      </w:r>
      <w:r/>
    </w:p>
    <w:p>
      <w:r/>
      <w:r>
        <w:t>The case of Mavundla v MEC: Department of Co-Operative Government and Traditional Affairs KwaZulu-Natal and Others (7940/2024P) [2025] ZAKZPHC 2 remains a poignant reminder of the delicate balance required in embracing technology within the legal sphere.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https://media.lawlibrary.org.za/media/judgment/299489/source_file/69873c6ec6b5bf54/FINAL_JUDGMENT_APPLICATION_FOR_LEAVE_TO_APPEAL_MAVUNDLA_V_COGTA_003.pdf</w:t>
        </w:r>
      </w:hyperlink>
      <w:r>
        <w:t xml:space="preserve"> - This link supports the details of the case Mavundla v MEC: Department of Co-Operative Government and Traditional Affairs KwaZulu-Natal and Others, including the issues with unverified legal research and the court's scrutiny of cited cases.</w:t>
      </w:r>
      <w:r/>
    </w:p>
    <w:p>
      <w:pPr>
        <w:pStyle w:val="ListNumber"/>
        <w:spacing w:line="240" w:lineRule="auto"/>
        <w:ind w:left="720"/>
      </w:pPr>
      <w:r/>
      <w:hyperlink r:id="rId10">
        <w:r>
          <w:rPr>
            <w:color w:val="0000EE"/>
            <w:u w:val="single"/>
          </w:rPr>
          <w:t>https://media.lawlibrary.org.za/media/judgment/299489/source_file/69873c6ec6b5bf54/FINAL_JUDGMENT_APPLICATION_FOR_LEAVE_TO_APPEAL_MAVUNDLA_V_COGTA_003.pdf</w:t>
        </w:r>
      </w:hyperlink>
      <w:r>
        <w:t xml:space="preserve"> - This document highlights the judge's examination of the supplementary notice of appeal and the discovery of invalid and incorrectly cited cases.</w:t>
      </w:r>
      <w:r/>
    </w:p>
    <w:p>
      <w:pPr>
        <w:pStyle w:val="ListNumber"/>
        <w:spacing w:line="240" w:lineRule="auto"/>
        <w:ind w:left="720"/>
      </w:pPr>
      <w:r/>
      <w:hyperlink r:id="rId10">
        <w:r>
          <w:rPr>
            <w:color w:val="0000EE"/>
            <w:u w:val="single"/>
          </w:rPr>
          <w:t>https://media.lawlibrary.org.za/media/judgment/299489/source_file/69873c6ec6b5bf54/FINAL_JUDGMENT_APPLICATION_FOR_LEAVE_TO_APPEAL_MAVUNDLA_V_COGTA_003.pdf</w:t>
        </w:r>
      </w:hyperlink>
      <w:r>
        <w:t xml:space="preserve"> - The judgment emphasizes the ethical obligations of legal practitioners and the importance of verifying information before presenting it in court.</w:t>
      </w:r>
      <w:r/>
    </w:p>
    <w:p>
      <w:pPr>
        <w:pStyle w:val="ListNumber"/>
        <w:spacing w:line="240" w:lineRule="auto"/>
        <w:ind w:left="720"/>
      </w:pPr>
      <w:r/>
      <w:hyperlink r:id="rId11">
        <w:r>
          <w:rPr>
            <w:color w:val="0000EE"/>
            <w:u w:val="single"/>
          </w:rPr>
          <w:t>https://sparktoro.com/blog/an-anonymous-source-shared-thousands-of-leaked-google-search-api-documents-with-me-everyone-in-seo-should-see-them/</w:t>
        </w:r>
      </w:hyperlink>
      <w:r>
        <w:t xml:space="preserve"> - This article discusses the potential for AI and other technologies to generate inaccurate or misleading information, similar to the 'hallucinations' mentioned in the judgment.</w:t>
      </w:r>
      <w:r/>
    </w:p>
    <w:p>
      <w:pPr>
        <w:pStyle w:val="ListNumber"/>
        <w:spacing w:line="240" w:lineRule="auto"/>
        <w:ind w:left="720"/>
      </w:pPr>
      <w:r/>
      <w:hyperlink r:id="rId11">
        <w:r>
          <w:rPr>
            <w:color w:val="0000EE"/>
            <w:u w:val="single"/>
          </w:rPr>
          <w:t>https://sparktoro.com/blog/an-anonymous-source-shared-thousands-of-leaked-google-search-api-documents-with-me-everyone-in-seo-should-see-them/</w:t>
        </w:r>
      </w:hyperlink>
      <w:r>
        <w:t xml:space="preserve"> - It highlights the need for careful scrutiny and validation of information generated by AI technologies, a point also made in the judgment.</w:t>
      </w:r>
      <w:r/>
    </w:p>
    <w:p>
      <w:pPr>
        <w:pStyle w:val="ListNumber"/>
        <w:spacing w:line="240" w:lineRule="auto"/>
        <w:ind w:left="720"/>
      </w:pPr>
      <w:r/>
      <w:hyperlink r:id="rId12">
        <w:r>
          <w:rPr>
            <w:color w:val="0000EE"/>
            <w:u w:val="single"/>
          </w:rPr>
          <w:t>https://www.jurist.org/news/2024/08/us-supreme-court-allows-arizona-election-law-requiring-proof-of-citizenship-to-go-into-effect/</w:t>
        </w:r>
      </w:hyperlink>
      <w:r>
        <w:t xml:space="preserve"> - Although not directly related, this article illustrates the importance of accurate and verified information in legal contexts, a theme consistent with the judgment's emphasis on verification.</w:t>
      </w:r>
      <w:r/>
    </w:p>
    <w:p>
      <w:pPr>
        <w:pStyle w:val="ListNumber"/>
        <w:spacing w:line="240" w:lineRule="auto"/>
        <w:ind w:left="720"/>
      </w:pPr>
      <w:r/>
      <w:hyperlink r:id="rId13">
        <w:r>
          <w:rPr>
            <w:color w:val="0000EE"/>
            <w:u w:val="single"/>
          </w:rPr>
          <w:t>https://www.nishithdesai.com/NewsDetails/8498</w:t>
        </w:r>
      </w:hyperlink>
      <w:r>
        <w:t xml:space="preserve"> - This article on a different legal case underscores the principle of maintaining the accuracy and integrity of legal documents and proceedings, aligning with the judgment's stance on ethical obligations.</w:t>
      </w:r>
      <w:r/>
    </w:p>
    <w:p>
      <w:pPr>
        <w:pStyle w:val="ListNumber"/>
        <w:spacing w:line="240" w:lineRule="auto"/>
        <w:ind w:left="720"/>
      </w:pPr>
      <w:r/>
      <w:hyperlink r:id="rId13">
        <w:r>
          <w:rPr>
            <w:color w:val="0000EE"/>
            <w:u w:val="single"/>
          </w:rPr>
          <w:t>https://www.nishithdesai.com/NewsDetails/8498</w:t>
        </w:r>
      </w:hyperlink>
      <w:r>
        <w:t xml:space="preserve"> - It highlights the court's oversight in ensuring the conduct of legal officers is ethical and trustworthy, a point also emphasized in the Mavundla case.</w:t>
      </w:r>
      <w:r/>
    </w:p>
    <w:p>
      <w:pPr>
        <w:pStyle w:val="ListNumber"/>
        <w:spacing w:line="240" w:lineRule="auto"/>
        <w:ind w:left="720"/>
      </w:pPr>
      <w:r/>
      <w:hyperlink r:id="rId14">
        <w:r>
          <w:rPr>
            <w:color w:val="0000EE"/>
            <w:u w:val="single"/>
          </w:rPr>
          <w:t>https://cdn-links.lww.com/permalink/aog/c/aog_140_3_2022_07_04_tprcockrum_22-499_sdc2.pdf</w:t>
        </w:r>
      </w:hyperlink>
      <w:r>
        <w:t xml:space="preserve"> - This document provides guidelines on the importance of accurate citations and references in legal and academic writing, supporting the judgment's emphasis on verification.</w:t>
      </w:r>
      <w:r/>
    </w:p>
    <w:p>
      <w:pPr>
        <w:pStyle w:val="ListNumber"/>
        <w:spacing w:line="240" w:lineRule="auto"/>
        <w:ind w:left="720"/>
      </w:pPr>
      <w:r/>
      <w:hyperlink r:id="rId14">
        <w:r>
          <w:rPr>
            <w:color w:val="0000EE"/>
            <w:u w:val="single"/>
          </w:rPr>
          <w:t>https://cdn-links.lww.com/permalink/aog/c/aog_140_3_2022_07_04_tprcockrum_22-499_sdc2.pdf</w:t>
        </w:r>
      </w:hyperlink>
      <w:r>
        <w:t xml:space="preserve"> - It outlines the necessity of ensuring all statements and data are accurately reflected in the body of the manuscript, a principle applicable to legal research as well.</w:t>
      </w:r>
      <w:r/>
    </w:p>
    <w:p>
      <w:pPr>
        <w:pStyle w:val="ListNumber"/>
        <w:spacing w:line="240" w:lineRule="auto"/>
        <w:ind w:left="720"/>
      </w:pPr>
      <w:r/>
      <w:hyperlink r:id="rId10">
        <w:r>
          <w:rPr>
            <w:color w:val="0000EE"/>
            <w:u w:val="single"/>
          </w:rPr>
          <w:t>https://media.lawlibrary.org.za/media/judgment/299489/source_file/69873c6ec6b5bf54/FINAL_JUDGMENT_APPLICATION_FOR_LEAVE_TO_APPEAL_MAVUNDLA_V_COGTA_003.pdf</w:t>
        </w:r>
      </w:hyperlink>
      <w:r>
        <w:t xml:space="preserve"> - The judgment concludes by advocating for a balance between innovation and accountability in the use of AI in legal practice, emphasizing the need for practitioner education and sophisticated research technologies.</w:t>
      </w:r>
      <w:r/>
    </w:p>
    <w:p>
      <w:pPr>
        <w:pStyle w:val="ListNumber"/>
        <w:spacing w:line="240" w:lineRule="auto"/>
        <w:ind w:left="720"/>
      </w:pPr>
      <w:r/>
      <w:hyperlink r:id="rId15">
        <w:r>
          <w:rPr>
            <w:color w:val="0000EE"/>
            <w:u w:val="single"/>
          </w:rPr>
          <w:t>https://www.lexblog.com/2025/01/10/how-unverified-research-and-ai-shaped-a-high-court-judgment/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ia.lawlibrary.org.za/media/judgment/299489/source_file/69873c6ec6b5bf54/FINAL_JUDGMENT_APPLICATION_FOR_LEAVE_TO_APPEAL_MAVUNDLA_V_COGTA_003.pdf" TargetMode="External"/><Relationship Id="rId11" Type="http://schemas.openxmlformats.org/officeDocument/2006/relationships/hyperlink" Target="https://sparktoro.com/blog/an-anonymous-source-shared-thousands-of-leaked-google-search-api-documents-with-me-everyone-in-seo-should-see-them/" TargetMode="External"/><Relationship Id="rId12" Type="http://schemas.openxmlformats.org/officeDocument/2006/relationships/hyperlink" Target="https://www.jurist.org/news/2024/08/us-supreme-court-allows-arizona-election-law-requiring-proof-of-citizenship-to-go-into-effect/" TargetMode="External"/><Relationship Id="rId13" Type="http://schemas.openxmlformats.org/officeDocument/2006/relationships/hyperlink" Target="https://www.nishithdesai.com/NewsDetails/8498" TargetMode="External"/><Relationship Id="rId14" Type="http://schemas.openxmlformats.org/officeDocument/2006/relationships/hyperlink" Target="https://cdn-links.lww.com/permalink/aog/c/aog_140_3_2022_07_04_tprcockrum_22-499_sdc2.pdf" TargetMode="External"/><Relationship Id="rId15" Type="http://schemas.openxmlformats.org/officeDocument/2006/relationships/hyperlink" Target="https://www.lexblog.com/2025/01/10/how-unverified-research-and-ai-shaped-a-high-court-judg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