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Key insights on investment strategies as we approach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Investor Magazine hosted an insightful session featuring Mike Coop, Chief Investment Officer at Morningstar Wealth, who provided a comprehensive analysis of investment strategies and thematic considerations in their Outlook for 2025. This session delved into various facets of portfolio construction amid a changing economic landscape, highlighting the necessity for investment adaptability.</w:t>
      </w:r>
      <w:r/>
    </w:p>
    <w:p>
      <w:r/>
      <w:r>
        <w:t>Coop underscored that traditional portfolio allocation strategies, such as the conventional 60/40 split between equities and bonds, may require reassessment in light of evolving market conditions and economic cycles. The emphasis on varying risk profiles illustrated that a spectrum of investment opportunities is emerging, particularly for those investors willing to explore avenues that offer higher returns—albeit at increased risk levels. In contrast, conservative investors are faced with the dilemma of adjusting their strategies in response to a declining interest rate environment.</w:t>
      </w:r>
      <w:r/>
    </w:p>
    <w:p>
      <w:r/>
      <w:r>
        <w:t xml:space="preserve">The discourse specifically pointed to China as a key medium-term opportunity within the investment landscape. Coop elaborated on the importance of identifying effective methodologies for investors aiming to leverage potential returns while adeptly managing associated risks in this significant market. </w:t>
      </w:r>
      <w:r/>
    </w:p>
    <w:p>
      <w:r/>
      <w:r>
        <w:t>Another area of potential strength identified is the UK housing sector, especially housebuilders, which Coop detailed as being bolstered by several driving factors. This observation aligns with broader industry trends and projections for 2025.</w:t>
      </w:r>
      <w:r/>
    </w:p>
    <w:p>
      <w:r/>
      <w:r>
        <w:t xml:space="preserve">Artificial intelligence (AI) continues to be a major factor influencing investment landscapes. The analysis highlighted the initial wave of opportunities arising from semiconductor manufacturers, noting that attention is now shifting towards uncovering the second wave of AI-driven investment potentials for the upcoming years. </w:t>
      </w:r>
      <w:r/>
    </w:p>
    <w:p>
      <w:r/>
      <w:r>
        <w:t xml:space="preserve">Throughout this discussion, interest rates emerged as a pivotal theme, seen as a crucial variable that could affect investment theses across various sectors and regions. Coop advised that maintaining flexibility in investment strategies will be vital for adapting to ongoing changes in market conditions. </w:t>
      </w:r>
      <w:r/>
    </w:p>
    <w:p>
      <w:r/>
      <w:r>
        <w:t>Investors monitoring these trends can expect the landscape to evolve significantly as we approach 2025, with key developments that could reshape conventional approaches to investment.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https://ukinvestormagazine.co.uk/2025-outlook-with-morningstars-mike-coop-china-uk-housebuilders-interest-rates-and-ai/</w:t>
        </w:r>
      </w:hyperlink>
      <w:r>
        <w:t xml:space="preserve"> - Corroborates the session hosted by UK Investor Magazine featuring Mike Coop and the discussion on portfolio construction, traditional allocation strategies, and the importance of adaptability.</w:t>
      </w:r>
      <w:r/>
    </w:p>
    <w:p>
      <w:pPr>
        <w:pStyle w:val="ListNumber"/>
        <w:spacing w:line="240" w:lineRule="auto"/>
        <w:ind w:left="720"/>
      </w:pPr>
      <w:r/>
      <w:hyperlink r:id="rId10">
        <w:r>
          <w:rPr>
            <w:color w:val="0000EE"/>
            <w:u w:val="single"/>
          </w:rPr>
          <w:t>https://ukinvestormagazine.co.uk/2025-outlook-with-morningstars-mike-coop-china-uk-housebuilders-interest-rates-and-ai/</w:t>
        </w:r>
      </w:hyperlink>
      <w:r>
        <w:t xml:space="preserve"> - Supports the point about reassessing traditional 60/40 split between equities and bonds due to evolving market conditions and economic cycles.</w:t>
      </w:r>
      <w:r/>
    </w:p>
    <w:p>
      <w:pPr>
        <w:pStyle w:val="ListNumber"/>
        <w:spacing w:line="240" w:lineRule="auto"/>
        <w:ind w:left="720"/>
      </w:pPr>
      <w:r/>
      <w:hyperlink r:id="rId10">
        <w:r>
          <w:rPr>
            <w:color w:val="0000EE"/>
            <w:u w:val="single"/>
          </w:rPr>
          <w:t>https://ukinvestormagazine.co.uk/2025-outlook-with-morningstars-mike-coop-china-uk-housebuilders-interest-rates-and-ai/</w:t>
        </w:r>
      </w:hyperlink>
      <w:r>
        <w:t xml:space="preserve"> - Highlights the varying risk profiles and emerging investment opportunities, especially for those seeking higher returns at increased risk levels.</w:t>
      </w:r>
      <w:r/>
    </w:p>
    <w:p>
      <w:pPr>
        <w:pStyle w:val="ListNumber"/>
        <w:spacing w:line="240" w:lineRule="auto"/>
        <w:ind w:left="720"/>
      </w:pPr>
      <w:r/>
      <w:hyperlink r:id="rId10">
        <w:r>
          <w:rPr>
            <w:color w:val="0000EE"/>
            <w:u w:val="single"/>
          </w:rPr>
          <w:t>https://ukinvestormagazine.co.uk/2025-outlook-with-morningstars-mike-coop-china-uk-housebuilders-interest-rates-and-ai/</w:t>
        </w:r>
      </w:hyperlink>
      <w:r>
        <w:t xml:space="preserve"> - Discusses the challenges faced by conservative investors in a declining interest rate environment.</w:t>
      </w:r>
      <w:r/>
    </w:p>
    <w:p>
      <w:pPr>
        <w:pStyle w:val="ListNumber"/>
        <w:spacing w:line="240" w:lineRule="auto"/>
        <w:ind w:left="720"/>
      </w:pPr>
      <w:r/>
      <w:hyperlink r:id="rId10">
        <w:r>
          <w:rPr>
            <w:color w:val="0000EE"/>
            <w:u w:val="single"/>
          </w:rPr>
          <w:t>https://ukinvestormagazine.co.uk/2025-outlook-with-morningstars-mike-coop-china-uk-housebuilders-interest-rates-and-ai/</w:t>
        </w:r>
      </w:hyperlink>
      <w:r>
        <w:t xml:space="preserve"> - Identifies China as a key medium-term investment opportunity and the need to manage associated risks.</w:t>
      </w:r>
      <w:r/>
    </w:p>
    <w:p>
      <w:pPr>
        <w:pStyle w:val="ListNumber"/>
        <w:spacing w:line="240" w:lineRule="auto"/>
        <w:ind w:left="720"/>
      </w:pPr>
      <w:r/>
      <w:hyperlink r:id="rId10">
        <w:r>
          <w:rPr>
            <w:color w:val="0000EE"/>
            <w:u w:val="single"/>
          </w:rPr>
          <w:t>https://ukinvestormagazine.co.uk/2025-outlook-with-morningstars-mike-coop-china-uk-housebuilders-interest-rates-and-ai/</w:t>
        </w:r>
      </w:hyperlink>
      <w:r>
        <w:t xml:space="preserve"> - Highlights the potential strength of the UK housing sector, particularly housebuilders, and the driving factors behind this trend.</w:t>
      </w:r>
      <w:r/>
    </w:p>
    <w:p>
      <w:pPr>
        <w:pStyle w:val="ListNumber"/>
        <w:spacing w:line="240" w:lineRule="auto"/>
        <w:ind w:left="720"/>
      </w:pPr>
      <w:r/>
      <w:hyperlink r:id="rId10">
        <w:r>
          <w:rPr>
            <w:color w:val="0000EE"/>
            <w:u w:val="single"/>
          </w:rPr>
          <w:t>https://ukinvestormagazine.co.uk/2025-outlook-with-morningstars-mike-coop-china-uk-housebuilders-interest-rates-and-ai/</w:t>
        </w:r>
      </w:hyperlink>
      <w:r>
        <w:t xml:space="preserve"> - Explains the impact of artificial intelligence on investment landscapes and the shift towards the second wave of AI-driven investment opportunities.</w:t>
      </w:r>
      <w:r/>
    </w:p>
    <w:p>
      <w:pPr>
        <w:pStyle w:val="ListNumber"/>
        <w:spacing w:line="240" w:lineRule="auto"/>
        <w:ind w:left="720"/>
      </w:pPr>
      <w:r/>
      <w:hyperlink r:id="rId10">
        <w:r>
          <w:rPr>
            <w:color w:val="0000EE"/>
            <w:u w:val="single"/>
          </w:rPr>
          <w:t>https://ukinvestormagazine.co.uk/2025-outlook-with-morningstars-mike-coop-china-uk-housebuilders-interest-rates-and-ai/</w:t>
        </w:r>
      </w:hyperlink>
      <w:r>
        <w:t xml:space="preserve"> - Emphasizes the crucial role of interest rates in affecting investment theses across various sectors and regions.</w:t>
      </w:r>
      <w:r/>
    </w:p>
    <w:p>
      <w:pPr>
        <w:pStyle w:val="ListNumber"/>
        <w:spacing w:line="240" w:lineRule="auto"/>
        <w:ind w:left="720"/>
      </w:pPr>
      <w:r/>
      <w:hyperlink r:id="rId11">
        <w:r>
          <w:rPr>
            <w:color w:val="0000EE"/>
            <w:u w:val="single"/>
          </w:rPr>
          <w:t>https://portfolio-adviser.com/morningstar-time-to-look-beyond-the-us/</w:t>
        </w:r>
      </w:hyperlink>
      <w:r>
        <w:t xml:space="preserve"> - Supports the focus on regions outside the US for better investment opportunities, including China and the UK housing sector.</w:t>
      </w:r>
      <w:r/>
    </w:p>
    <w:p>
      <w:pPr>
        <w:pStyle w:val="ListNumber"/>
        <w:spacing w:line="240" w:lineRule="auto"/>
        <w:ind w:left="720"/>
      </w:pPr>
      <w:r/>
      <w:hyperlink r:id="rId11">
        <w:r>
          <w:rPr>
            <w:color w:val="0000EE"/>
            <w:u w:val="single"/>
          </w:rPr>
          <w:t>https://portfolio-adviser.com/morningstar-time-to-look-beyond-the-us/</w:t>
        </w:r>
      </w:hyperlink>
      <w:r>
        <w:t xml:space="preserve"> - Provides additional context on the potential of Chinese markets and the importance of managing risks in this sector.</w:t>
      </w:r>
      <w:r/>
    </w:p>
    <w:p>
      <w:pPr>
        <w:pStyle w:val="ListNumber"/>
        <w:spacing w:line="240" w:lineRule="auto"/>
        <w:ind w:left="720"/>
      </w:pPr>
      <w:r/>
      <w:hyperlink r:id="rId11">
        <w:r>
          <w:rPr>
            <w:color w:val="0000EE"/>
            <w:u w:val="single"/>
          </w:rPr>
          <w:t>https://portfolio-adviser.com/morningstar-time-to-look-beyond-the-us/</w:t>
        </w:r>
      </w:hyperlink>
      <w:r>
        <w:t xml:space="preserve"> - Corroborates the advice on maintaining flexibility in investment strategies to adapt to changing market conditions.</w:t>
      </w:r>
      <w:r/>
    </w:p>
    <w:p>
      <w:pPr>
        <w:pStyle w:val="ListNumber"/>
        <w:spacing w:line="240" w:lineRule="auto"/>
        <w:ind w:left="720"/>
      </w:pPr>
      <w:r/>
      <w:hyperlink r:id="rId10">
        <w:r>
          <w:rPr>
            <w:color w:val="0000EE"/>
            <w:u w:val="single"/>
          </w:rPr>
          <w:t>https://ukinvestormagazine.co.uk/2025-outlook-with-morningstars-mike-coop-china-uk-housebuilders-interest-rates-and-ai/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ukinvestormagazine.co.uk/2025-outlook-with-morningstars-mike-coop-china-uk-housebuilders-interest-rates-and-ai/" TargetMode="External"/><Relationship Id="rId11" Type="http://schemas.openxmlformats.org/officeDocument/2006/relationships/hyperlink" Target="https://portfolio-adviser.com/morningstar-time-to-look-beyond-the-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