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credit firms step up to meet capital expenditure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need for significant capital expenditure in the realms of data centres, energy infrastructure, and the reshoring of industries is becoming increasingly paramount as the global economy evolves. In light of this pressing necessity, questions surrounding the sources of finance for these undertakings are stirring discussions within financial circles.</w:t>
      </w:r>
      <w:r/>
    </w:p>
    <w:p>
      <w:r/>
      <w:r>
        <w:t>Recent developments in the United States banking sector suggest that banks are positioned to seize opportunities amid a more favourable regulatory environment facilitated by the new administration in Washington. Share price increases for US banks since the recent elections indicate investor expectations of greater flexibility in capital deployment. According to an analysis by Morgan Stanley, should the Basel III banking standards be implemented in the US without raising overall capital demands, it could potentially release upwards of $86 billion for the top twelve banks, paving the way for expanded lending capabilities and share buybacks.</w:t>
      </w:r>
      <w:r/>
    </w:p>
    <w:p>
      <w:r/>
      <w:r>
        <w:t>In parallel, leading private credit firms are stepping into the financial landscape, aiming to meet the burgeoning demand for investment. The top seven listed private credit groups now control approximately $2.1 trillion in credit assets across various sectors, including infrastructure and real estate. However, as traditional private credit markets become saturated, these firms are pivoting towards more lucrative opportunities aligned with the anticipated capital expenditure for projects pivotal to the energy transition and those supporting the rise of cloud computing and artificial intelligence.</w:t>
      </w:r>
      <w:r/>
    </w:p>
    <w:p>
      <w:r/>
      <w:r>
        <w:t>The projected investment in data centres alone is expected to exceed $1 trillion within the United States over the next five years, with an additional $1 trillion anticipated globally, according to estimates from Blackstone. The surge in demand for robust data management and the escalating energy requirements will necessitate further investments in greener power sources and management techniques.</w:t>
      </w:r>
      <w:r/>
    </w:p>
    <w:p>
      <w:r/>
      <w:r>
        <w:t>Marc Rowan, the CEO of Apollo Global, foresees potential private project finance deals reaching between $15 trillion and $20 trillion within the next year, underscoring the complexity and long-term nature of these investments, which often do not align seamlessly with traditional banking structures.</w:t>
      </w:r>
      <w:r/>
    </w:p>
    <w:p>
      <w:r/>
      <w:r>
        <w:t>According to Oliver Wyman, private credit currently comprises only about 5% of the total $5.5 trillion specialty finance market, a figure that dips even lower in the area of energy infrastructure. Nevertheless, a noticeable transformation within private credit funding models has emerged, driven primarily by investments from insurers. Research indicates that private credit assets financed by insurers within the top seven private market players now constitute 43% of credit assets, a figure that has risen from 32% at the close of 2021. In essence, approximately half of the inflows in 2024 originated from these insurers.</w:t>
      </w:r>
      <w:r/>
    </w:p>
    <w:p>
      <w:r/>
      <w:r>
        <w:t>Insurers are increasingly seeking investments in long-duration, inflation-resistant assets, and firms such as BlackRock are contemplating a significant portfolio shift—potentially reallocating 10% of its $700 billion in insurance assets from core fixed income to private credit. This shift aligns with initiatives such as BlackRock's $12 billion acquisition of the private credit group HPS, and a significant partnership formed between Northwestern Mutual and Sixth Street managing $13 billion of assets.</w:t>
      </w:r>
      <w:r/>
    </w:p>
    <w:p>
      <w:r/>
      <w:r>
        <w:t xml:space="preserve">While this shift signals a societal pivot back towards long-term infrastructure financing akin to post-World War II practices, European markets face considerable hindrances. Stringent regulations limit the ability of insurers to engage in financing the real economy through private credit or by acquiring senior tranches of securitised products. As of today, US data centre securitisations have totalled $24.3 billion since 2018, in stark contrast to the European Union, which has yet to witness a comparable transaction. </w:t>
      </w:r>
      <w:r/>
    </w:p>
    <w:p>
      <w:r/>
      <w:r>
        <w:t>The need for regulatory recalibration in Europe concerning insurance, securitisation, and private credit has been emphasised by figures such as former Italian Prime Minister Mario Draghi, highlighting the urgent need to cultivate a conducive environment for infrastructure investment.</w:t>
      </w:r>
      <w:r/>
    </w:p>
    <w:p>
      <w:r/>
      <w:r>
        <w:t>Amid a landscape marked by potential risks—particularly regarding the quality of borrowers—the US private credit market is poised to play an ever-expanding role in financing the anticipated capital expenditure boom, fundamentally reshaping the operational dynamics within which businesses operate.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https://www.jefferies.com/insights/the-big-picture/how-data-centers-are-shaping-the-future-of-energy-consumption/</w:t>
        </w:r>
      </w:hyperlink>
      <w:r>
        <w:t xml:space="preserve"> - Corroborates the significant capital expenditure needed for data centers and energy infrastructure, including the growth in data center power consumption and the need for additional transmission and generation infrastructure investments.</w:t>
      </w:r>
      <w:r/>
    </w:p>
    <w:p>
      <w:pPr>
        <w:pStyle w:val="ListNumber"/>
        <w:spacing w:line="240" w:lineRule="auto"/>
        <w:ind w:left="720"/>
      </w:pPr>
      <w:r/>
      <w:hyperlink r:id="rId11">
        <w:r>
          <w:rPr>
            <w:color w:val="0000EE"/>
            <w:u w:val="single"/>
          </w:rPr>
          <w:t>https://www.goldmansachs.com/pdfs/insights/pages/generational-growth-ai-data-centers-and-the-coming-us-power-surge/report.pdf</w:t>
        </w:r>
      </w:hyperlink>
      <w:r>
        <w:t xml:space="preserve"> - Supports the projected investment in data centers and the anticipated surge in US power demand driven by data center growth, as well as the need for new power generation capacity.</w:t>
      </w:r>
      <w:r/>
    </w:p>
    <w:p>
      <w:pPr>
        <w:pStyle w:val="ListNumber"/>
        <w:spacing w:line="240" w:lineRule="auto"/>
        <w:ind w:left="720"/>
      </w:pPr>
      <w:r/>
      <w:hyperlink r:id="rId12">
        <w:r>
          <w:rPr>
            <w:color w:val="0000EE"/>
            <w:u w:val="single"/>
          </w:rPr>
          <w:t>https://www.bernstein.com/our-insights/insights/2024/articles/are-the-stars-finally-aligned-for-us-financial-stocks.html</w:t>
        </w:r>
      </w:hyperlink>
      <w:r>
        <w:t xml:space="preserve"> - Discusses the favorable regulatory environment for US banks, share price increases, and the potential release of capital for lending and share buybacks if Basel III standards are implemented without raising overall capital demands.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query that discusses the overall need for capital expenditure in data centers, energy infrastructure, and the role of private credit firms and insurers in financing these projects.</w:t>
      </w:r>
      <w:r/>
    </w:p>
    <w:p>
      <w:pPr>
        <w:pStyle w:val="ListNumber"/>
        <w:spacing w:line="240" w:lineRule="auto"/>
        <w:ind w:left="720"/>
      </w:pPr>
      <w:r/>
      <w:hyperlink r:id="rId10">
        <w:r>
          <w:rPr>
            <w:color w:val="0000EE"/>
            <w:u w:val="single"/>
          </w:rPr>
          <w:t>https://www.jefferies.com/insights/the-big-picture/how-data-centers-are-shaping-the-future-of-energy-consumption/</w:t>
        </w:r>
      </w:hyperlink>
      <w:r>
        <w:t xml:space="preserve"> - Further details on the economic dynamics and strategic moves needed to sustain the growth of data centers, including the role of renewable energy and power purchase agreements.</w:t>
      </w:r>
      <w:r/>
    </w:p>
    <w:p>
      <w:pPr>
        <w:pStyle w:val="ListNumber"/>
        <w:spacing w:line="240" w:lineRule="auto"/>
        <w:ind w:left="720"/>
      </w:pPr>
      <w:r/>
      <w:hyperlink r:id="rId11">
        <w:r>
          <w:rPr>
            <w:color w:val="0000EE"/>
            <w:u w:val="single"/>
          </w:rPr>
          <w:t>https://www.goldmansachs.com/pdfs/insights/pages/generational-growth-ai-data-centers-and-the-coming-us-power-surge/report.pdf</w:t>
        </w:r>
      </w:hyperlink>
      <w:r>
        <w:t xml:space="preserve"> - Provides estimates on the investment needed for new power generation capacity to support data center growth and broader electrification trends.</w:t>
      </w:r>
      <w:r/>
    </w:p>
    <w:p>
      <w:pPr>
        <w:pStyle w:val="ListNumber"/>
        <w:spacing w:line="240" w:lineRule="auto"/>
        <w:ind w:left="720"/>
      </w:pPr>
      <w:r/>
      <w:hyperlink r:id="rId12">
        <w:r>
          <w:rPr>
            <w:color w:val="0000EE"/>
            <w:u w:val="single"/>
          </w:rPr>
          <w:t>https://www.bernstein.com/our-insights/insights/2024/articles/are-the-stars-finally-aligned-for-us-financial-stocks.html</w:t>
        </w:r>
      </w:hyperlink>
      <w:r>
        <w:t xml:space="preserve"> - Explains the current state of the US financial sector, including the recovery from recent banking crises and the strong capital positions of large US banks.</w:t>
      </w:r>
      <w:r/>
    </w:p>
    <w:p>
      <w:pPr>
        <w:pStyle w:val="ListNumber"/>
        <w:spacing w:line="240" w:lineRule="auto"/>
        <w:ind w:left="720"/>
      </w:pPr>
      <w:r/>
      <w:hyperlink r:id="rId10">
        <w:r>
          <w:rPr>
            <w:color w:val="0000EE"/>
            <w:u w:val="single"/>
          </w:rPr>
          <w:t>https://www.jefferies.com/insights/the-big-picture/how-data-centers-are-shaping-the-future-of-energy-consumption/</w:t>
        </w:r>
      </w:hyperlink>
      <w:r>
        <w:t xml:space="preserve"> - Highlights the regional dynamics and opportunities in data center expansion, particularly in the United States compared to Europe and APAC.</w:t>
      </w:r>
      <w:r/>
    </w:p>
    <w:p>
      <w:pPr>
        <w:pStyle w:val="ListNumber"/>
        <w:spacing w:line="240" w:lineRule="auto"/>
        <w:ind w:left="720"/>
      </w:pPr>
      <w:r/>
      <w:hyperlink r:id="rId11">
        <w:r>
          <w:rPr>
            <w:color w:val="0000EE"/>
            <w:u w:val="single"/>
          </w:rPr>
          <w:t>https://www.goldmansachs.com/pdfs/insights/pages/generational-growth-ai-data-centers-and-the-coming-us-power-surge/report.pdf</w:t>
        </w:r>
      </w:hyperlink>
      <w:r>
        <w:t xml:space="preserve"> - Details the expected growth in data center power demand and its impact on US power demand, including the need for a mix of gas and renewable energy sources.</w:t>
      </w:r>
      <w:r/>
    </w:p>
    <w:p>
      <w:pPr>
        <w:pStyle w:val="ListNumber"/>
        <w:spacing w:line="240" w:lineRule="auto"/>
        <w:ind w:left="720"/>
      </w:pPr>
      <w:r/>
      <w:hyperlink r:id="rId12">
        <w:r>
          <w:rPr>
            <w:color w:val="0000EE"/>
            <w:u w:val="single"/>
          </w:rPr>
          <w:t>https://www.bernstein.com/our-insights/insights/2024/articles/are-the-stars-finally-aligned-for-us-financial-stocks.html</w:t>
        </w:r>
      </w:hyperlink>
      <w:r>
        <w:t xml:space="preserve"> - Discusses the broader economic trends, including inflation and interest rates, and how these factors influence the financial sector's profitability.</w:t>
      </w:r>
      <w:r/>
    </w:p>
    <w:p>
      <w:pPr>
        <w:pStyle w:val="ListNumber"/>
        <w:spacing w:line="240" w:lineRule="auto"/>
        <w:ind w:left="720"/>
      </w:pPr>
      <w:r/>
      <w:hyperlink r:id="rId11">
        <w:r>
          <w:rPr>
            <w:color w:val="0000EE"/>
            <w:u w:val="single"/>
          </w:rPr>
          <w:t>https://www.goldmansachs.com/pdfs/insights/pages/generational-growth-ai-data-centers-and-the-coming-us-power-surge/report.pdf</w:t>
        </w:r>
      </w:hyperlink>
      <w:r>
        <w:t xml:space="preserve"> - Supports the notion of underappreciated equity investment opportunities in utilities, renewable generation, and industrials due to the growth in data center demand.</w:t>
      </w:r>
      <w:r/>
    </w:p>
    <w:p>
      <w:pPr>
        <w:pStyle w:val="ListNumber"/>
        <w:spacing w:line="240" w:lineRule="auto"/>
        <w:ind w:left="720"/>
      </w:pPr>
      <w:r/>
      <w:hyperlink r:id="rId13">
        <w:r>
          <w:rPr>
            <w:color w:val="0000EE"/>
            <w:u w:val="single"/>
          </w:rPr>
          <w:t>https://www.ft.com/content/43c7b43e-0b69-4865-be4a-8cac8de84f84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efferies.com/insights/the-big-picture/how-data-centers-are-shaping-the-future-of-energy-consumption/" TargetMode="External"/><Relationship Id="rId11" Type="http://schemas.openxmlformats.org/officeDocument/2006/relationships/hyperlink" Target="https://www.goldmansachs.com/pdfs/insights/pages/generational-growth-ai-data-centers-and-the-coming-us-power-surge/report.pdf" TargetMode="External"/><Relationship Id="rId12" Type="http://schemas.openxmlformats.org/officeDocument/2006/relationships/hyperlink" Target="https://www.bernstein.com/our-insights/insights/2024/articles/are-the-stars-finally-aligned-for-us-financial-stocks.html" TargetMode="External"/><Relationship Id="rId13" Type="http://schemas.openxmlformats.org/officeDocument/2006/relationships/hyperlink" Target="https://www.ft.com/content/43c7b43e-0b69-4865-be4a-8cac8de84f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